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rPr>
          <w:rFonts w:ascii="仿宋_GB2312" w:eastAsia="仿宋_GB2312"/>
          <w:sz w:val="36"/>
          <w:szCs w:val="36"/>
          <w:u w:val="single"/>
        </w:rPr>
      </w:pPr>
      <w:r>
        <w:rPr>
          <w:rFonts w:hint="eastAsia" w:ascii="仿宋_GB2312" w:eastAsia="仿宋_GB2312"/>
          <w:sz w:val="36"/>
          <w:szCs w:val="36"/>
        </w:rPr>
        <w:t xml:space="preserve">项 目 名 称：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eastAsia="仿宋_GB2312"/>
          <w:sz w:val="36"/>
          <w:szCs w:val="36"/>
          <w:u w:val="single"/>
        </w:rPr>
        <w:t>年处理5000吨废铁破碎项目</w:t>
      </w:r>
      <w:r>
        <w:rPr>
          <w:rFonts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漯河市腾盛废旧金属回收有限公司                  </w:t>
      </w:r>
    </w:p>
    <w:p>
      <w:pPr>
        <w:adjustRightInd w:val="0"/>
        <w:snapToGrid w:val="0"/>
        <w:spacing w:line="288" w:lineRule="auto"/>
        <w:rPr>
          <w:rFonts w:ascii="仿宋_GB2312" w:eastAsia="仿宋_GB2312"/>
          <w:sz w:val="36"/>
          <w:szCs w:val="36"/>
          <w:u w:val="single"/>
        </w:rPr>
      </w:pPr>
      <w:r>
        <w:rPr>
          <w:rFonts w:hint="eastAsia" w:ascii="仿宋_GB2312" w:eastAsia="仿宋_GB2312"/>
          <w:sz w:val="36"/>
          <w:szCs w:val="36"/>
        </w:rPr>
        <w:t>编 制 日 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二0二二年一月 </w:t>
      </w:r>
      <w:r>
        <w:rPr>
          <w:rFonts w:hint="eastAsia"/>
          <w:b/>
          <w:bCs/>
          <w:sz w:val="30"/>
          <w:szCs w:val="30"/>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hint="eastAsia" w:ascii="楷体_GB2312" w:eastAsia="楷体_GB2312"/>
          <w:sz w:val="36"/>
          <w:szCs w:val="36"/>
          <w:lang w:eastAsia="zh-CN"/>
        </w:rPr>
        <w:sectPr>
          <w:footerReference r:id="rId3" w:type="default"/>
          <w:pgSz w:w="11906" w:h="16838"/>
          <w:pgMar w:top="1701" w:right="1531" w:bottom="1701" w:left="1531" w:header="851" w:footer="1077" w:gutter="0"/>
          <w:pgNumType w:start="1"/>
          <w:cols w:space="720" w:num="1"/>
          <w:docGrid w:linePitch="312" w:charSpace="0"/>
        </w:sectPr>
      </w:pPr>
      <w:r>
        <w:rPr>
          <w:rFonts w:hint="eastAsia" w:ascii="楷体_GB2312" w:eastAsia="楷体_GB2312"/>
          <w:sz w:val="36"/>
          <w:szCs w:val="36"/>
        </w:rPr>
        <w:t>中华人民共和国生态环境部</w:t>
      </w:r>
    </w:p>
    <w:p>
      <w:pPr>
        <w:pStyle w:val="16"/>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19"/>
        <w:tblW w:w="89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5"/>
        <w:gridCol w:w="2614"/>
        <w:gridCol w:w="1985"/>
        <w:gridCol w:w="29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建设项目名称</w:t>
            </w:r>
          </w:p>
        </w:tc>
        <w:tc>
          <w:tcPr>
            <w:tcW w:w="7539" w:type="dxa"/>
            <w:gridSpan w:val="3"/>
            <w:vAlign w:val="center"/>
          </w:tcPr>
          <w:p>
            <w:pPr>
              <w:adjustRightInd w:val="0"/>
              <w:snapToGrid w:val="0"/>
              <w:jc w:val="center"/>
              <w:rPr>
                <w:sz w:val="24"/>
              </w:rPr>
            </w:pPr>
            <w:r>
              <w:rPr>
                <w:rFonts w:hint="eastAsia"/>
                <w:sz w:val="24"/>
              </w:rPr>
              <w:t>漯河市腾盛废旧金属回收有限公司</w:t>
            </w:r>
          </w:p>
          <w:p>
            <w:pPr>
              <w:adjustRightInd w:val="0"/>
              <w:snapToGrid w:val="0"/>
              <w:jc w:val="center"/>
              <w:rPr>
                <w:sz w:val="24"/>
              </w:rPr>
            </w:pPr>
            <w:r>
              <w:rPr>
                <w:rFonts w:hint="eastAsia" w:hAnsi="宋体"/>
                <w:sz w:val="24"/>
              </w:rPr>
              <w:t>年处理5000吨废铁破碎项目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项目代码</w:t>
            </w:r>
          </w:p>
        </w:tc>
        <w:tc>
          <w:tcPr>
            <w:tcW w:w="7539" w:type="dxa"/>
            <w:gridSpan w:val="3"/>
            <w:vAlign w:val="center"/>
          </w:tcPr>
          <w:p>
            <w:pPr>
              <w:jc w:val="center"/>
              <w:rPr>
                <w:sz w:val="24"/>
              </w:rPr>
            </w:pPr>
            <w:r>
              <w:rPr>
                <w:rFonts w:hint="eastAsia"/>
                <w:color w:val="000000"/>
                <w:sz w:val="24"/>
              </w:rPr>
              <w:t>2109-411103-04-01-813071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建设单位联系人</w:t>
            </w:r>
          </w:p>
        </w:tc>
        <w:tc>
          <w:tcPr>
            <w:tcW w:w="2614" w:type="dxa"/>
            <w:vAlign w:val="center"/>
          </w:tcPr>
          <w:p>
            <w:pPr>
              <w:adjustRightInd w:val="0"/>
              <w:snapToGrid w:val="0"/>
              <w:jc w:val="center"/>
              <w:rPr>
                <w:sz w:val="24"/>
              </w:rPr>
            </w:pPr>
            <w:r>
              <w:rPr>
                <w:rFonts w:hint="eastAsia"/>
                <w:sz w:val="24"/>
              </w:rPr>
              <w:t>王程</w:t>
            </w:r>
          </w:p>
        </w:tc>
        <w:tc>
          <w:tcPr>
            <w:tcW w:w="1985" w:type="dxa"/>
            <w:vAlign w:val="center"/>
          </w:tcPr>
          <w:p>
            <w:pPr>
              <w:adjustRightInd w:val="0"/>
              <w:snapToGrid w:val="0"/>
              <w:jc w:val="center"/>
              <w:rPr>
                <w:sz w:val="24"/>
              </w:rPr>
            </w:pPr>
            <w:r>
              <w:rPr>
                <w:rFonts w:hAnsi="宋体"/>
                <w:sz w:val="24"/>
              </w:rPr>
              <w:t>联系方式</w:t>
            </w:r>
          </w:p>
        </w:tc>
        <w:tc>
          <w:tcPr>
            <w:tcW w:w="2940" w:type="dxa"/>
            <w:vAlign w:val="center"/>
          </w:tcPr>
          <w:p>
            <w:pPr>
              <w:jc w:val="center"/>
              <w:rPr>
                <w:sz w:val="24"/>
              </w:rPr>
            </w:pPr>
            <w:r>
              <w:rPr>
                <w:rFonts w:hint="eastAsia"/>
                <w:sz w:val="24"/>
              </w:rPr>
              <w:t>15039596211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建设地点</w:t>
            </w:r>
          </w:p>
        </w:tc>
        <w:tc>
          <w:tcPr>
            <w:tcW w:w="7539" w:type="dxa"/>
            <w:gridSpan w:val="3"/>
            <w:vAlign w:val="center"/>
          </w:tcPr>
          <w:p>
            <w:pPr>
              <w:adjustRightInd w:val="0"/>
              <w:snapToGrid w:val="0"/>
              <w:jc w:val="center"/>
              <w:rPr>
                <w:sz w:val="24"/>
              </w:rPr>
            </w:pPr>
            <w:r>
              <w:rPr>
                <w:rFonts w:hAnsi="宋体"/>
                <w:sz w:val="24"/>
              </w:rPr>
              <w:t>河南省漯河市郾城区</w:t>
            </w:r>
            <w:r>
              <w:rPr>
                <w:rFonts w:hint="eastAsia" w:hAnsi="宋体"/>
                <w:sz w:val="24"/>
              </w:rPr>
              <w:t>纬十路中段漯河市中联再生资源有限公司院内废钢分拣加工中心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地理坐标</w:t>
            </w:r>
          </w:p>
        </w:tc>
        <w:tc>
          <w:tcPr>
            <w:tcW w:w="7539" w:type="dxa"/>
            <w:gridSpan w:val="3"/>
            <w:vAlign w:val="center"/>
          </w:tcPr>
          <w:p>
            <w:pPr>
              <w:jc w:val="center"/>
              <w:rPr>
                <w:sz w:val="24"/>
              </w:rPr>
            </w:pPr>
            <w:r>
              <w:rPr>
                <w:sz w:val="24"/>
              </w:rPr>
              <w:t>（</w:t>
            </w:r>
            <w:r>
              <w:rPr>
                <w:sz w:val="24"/>
                <w:u w:val="single"/>
              </w:rPr>
              <w:t xml:space="preserve"> </w:t>
            </w:r>
            <w:r>
              <w:rPr>
                <w:rFonts w:hint="eastAsia"/>
                <w:sz w:val="24"/>
                <w:u w:val="single"/>
              </w:rPr>
              <w:t>114</w:t>
            </w:r>
            <w:r>
              <w:rPr>
                <w:sz w:val="24"/>
                <w:u w:val="single"/>
              </w:rPr>
              <w:t xml:space="preserve"> </w:t>
            </w:r>
            <w:r>
              <w:rPr>
                <w:sz w:val="24"/>
              </w:rPr>
              <w:t>度</w:t>
            </w:r>
            <w:r>
              <w:rPr>
                <w:sz w:val="24"/>
                <w:u w:val="single"/>
              </w:rPr>
              <w:t xml:space="preserve"> </w:t>
            </w:r>
            <w:r>
              <w:rPr>
                <w:rFonts w:hint="eastAsia"/>
                <w:sz w:val="24"/>
                <w:u w:val="single"/>
              </w:rPr>
              <w:t>00</w:t>
            </w:r>
            <w:r>
              <w:rPr>
                <w:sz w:val="24"/>
                <w:u w:val="single"/>
              </w:rPr>
              <w:t xml:space="preserve"> </w:t>
            </w:r>
            <w:r>
              <w:rPr>
                <w:sz w:val="24"/>
              </w:rPr>
              <w:t>分</w:t>
            </w:r>
            <w:r>
              <w:rPr>
                <w:sz w:val="24"/>
                <w:u w:val="single"/>
              </w:rPr>
              <w:t xml:space="preserve"> </w:t>
            </w:r>
            <w:r>
              <w:rPr>
                <w:rFonts w:hint="eastAsia"/>
                <w:sz w:val="24"/>
                <w:u w:val="single"/>
              </w:rPr>
              <w:t>7.301</w:t>
            </w:r>
            <w:r>
              <w:rPr>
                <w:sz w:val="24"/>
                <w:u w:val="single"/>
              </w:rPr>
              <w:t xml:space="preserve"> </w:t>
            </w:r>
            <w:r>
              <w:rPr>
                <w:sz w:val="24"/>
              </w:rPr>
              <w:t>秒，</w:t>
            </w:r>
            <w:r>
              <w:rPr>
                <w:sz w:val="24"/>
                <w:u w:val="single"/>
              </w:rPr>
              <w:t xml:space="preserve"> 33 </w:t>
            </w:r>
            <w:r>
              <w:rPr>
                <w:sz w:val="24"/>
              </w:rPr>
              <w:t>度</w:t>
            </w:r>
            <w:r>
              <w:rPr>
                <w:sz w:val="24"/>
                <w:u w:val="single"/>
              </w:rPr>
              <w:t xml:space="preserve"> </w:t>
            </w:r>
            <w:r>
              <w:rPr>
                <w:rFonts w:hint="eastAsia"/>
                <w:sz w:val="24"/>
                <w:u w:val="single"/>
              </w:rPr>
              <w:t>64</w:t>
            </w:r>
            <w:r>
              <w:rPr>
                <w:sz w:val="24"/>
                <w:u w:val="single"/>
              </w:rPr>
              <w:t xml:space="preserve"> </w:t>
            </w:r>
            <w:r>
              <w:rPr>
                <w:sz w:val="24"/>
              </w:rPr>
              <w:t>分</w:t>
            </w:r>
            <w:r>
              <w:rPr>
                <w:sz w:val="24"/>
                <w:u w:val="single"/>
              </w:rPr>
              <w:t xml:space="preserve"> </w:t>
            </w:r>
            <w:r>
              <w:rPr>
                <w:rFonts w:hint="eastAsia"/>
                <w:sz w:val="24"/>
                <w:u w:val="single"/>
              </w:rPr>
              <w:t>2.969</w:t>
            </w:r>
            <w:r>
              <w:rPr>
                <w:sz w:val="24"/>
                <w:u w:val="single"/>
              </w:rPr>
              <w:t xml:space="preserve"> </w:t>
            </w:r>
            <w:r>
              <w:rPr>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国民经济</w:t>
            </w:r>
          </w:p>
          <w:p>
            <w:pPr>
              <w:adjustRightInd w:val="0"/>
              <w:snapToGrid w:val="0"/>
              <w:jc w:val="center"/>
              <w:rPr>
                <w:sz w:val="24"/>
              </w:rPr>
            </w:pPr>
            <w:r>
              <w:rPr>
                <w:rFonts w:hAnsi="宋体"/>
                <w:sz w:val="24"/>
              </w:rPr>
              <w:t>行业类别</w:t>
            </w:r>
          </w:p>
        </w:tc>
        <w:tc>
          <w:tcPr>
            <w:tcW w:w="2614" w:type="dxa"/>
            <w:vAlign w:val="center"/>
          </w:tcPr>
          <w:p>
            <w:pPr>
              <w:adjustRightInd w:val="0"/>
              <w:snapToGrid w:val="0"/>
              <w:jc w:val="center"/>
              <w:rPr>
                <w:sz w:val="24"/>
              </w:rPr>
            </w:pPr>
            <w:r>
              <w:rPr>
                <w:rFonts w:hint="eastAsia"/>
                <w:sz w:val="24"/>
              </w:rPr>
              <w:t>C4210金属废料和碎屑加工处理</w:t>
            </w:r>
          </w:p>
        </w:tc>
        <w:tc>
          <w:tcPr>
            <w:tcW w:w="1985" w:type="dxa"/>
            <w:vAlign w:val="center"/>
          </w:tcPr>
          <w:p>
            <w:pPr>
              <w:adjustRightInd w:val="0"/>
              <w:snapToGrid w:val="0"/>
              <w:jc w:val="center"/>
              <w:rPr>
                <w:sz w:val="24"/>
              </w:rPr>
            </w:pPr>
            <w:bookmarkStart w:id="1" w:name="_Hlk49843745"/>
            <w:r>
              <w:rPr>
                <w:rFonts w:hAnsi="宋体"/>
                <w:sz w:val="24"/>
              </w:rPr>
              <w:t>建设项目</w:t>
            </w:r>
          </w:p>
          <w:p>
            <w:pPr>
              <w:adjustRightInd w:val="0"/>
              <w:snapToGrid w:val="0"/>
              <w:jc w:val="center"/>
              <w:rPr>
                <w:sz w:val="24"/>
              </w:rPr>
            </w:pPr>
            <w:r>
              <w:rPr>
                <w:rFonts w:hAnsi="宋体"/>
                <w:sz w:val="24"/>
              </w:rPr>
              <w:t>行业类别</w:t>
            </w:r>
            <w:bookmarkEnd w:id="1"/>
          </w:p>
        </w:tc>
        <w:tc>
          <w:tcPr>
            <w:tcW w:w="2940" w:type="dxa"/>
            <w:vAlign w:val="center"/>
          </w:tcPr>
          <w:p>
            <w:pPr>
              <w:adjustRightInd w:val="0"/>
              <w:snapToGrid w:val="0"/>
              <w:rPr>
                <w:sz w:val="24"/>
              </w:rPr>
            </w:pPr>
            <w:r>
              <w:rPr>
                <w:rFonts w:hint="eastAsia"/>
                <w:sz w:val="24"/>
              </w:rPr>
              <w:t>85.金属废料和碎屑加工处理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建设性质</w:t>
            </w:r>
          </w:p>
        </w:tc>
        <w:tc>
          <w:tcPr>
            <w:tcW w:w="2614" w:type="dxa"/>
            <w:vAlign w:val="center"/>
          </w:tcPr>
          <w:p>
            <w:pPr>
              <w:jc w:val="left"/>
              <w:rPr>
                <w:sz w:val="24"/>
              </w:rPr>
            </w:pPr>
            <w:r>
              <w:rPr>
                <w:rFonts w:hint="eastAsia" w:ascii="宋体" w:hAnsi="宋体" w:cs="宋体"/>
                <w:szCs w:val="21"/>
              </w:rPr>
              <w:t>☑</w:t>
            </w:r>
            <w:r>
              <w:rPr>
                <w:rFonts w:hAnsi="宋体"/>
                <w:sz w:val="24"/>
              </w:rPr>
              <w:t>新建（迁建）</w:t>
            </w:r>
          </w:p>
          <w:p>
            <w:pPr>
              <w:jc w:val="left"/>
              <w:rPr>
                <w:sz w:val="24"/>
              </w:rPr>
            </w:pPr>
            <w:r>
              <w:rPr>
                <w:rFonts w:hint="eastAsia" w:ascii="宋体" w:hAnsi="宋体" w:cs="宋体"/>
                <w:szCs w:val="21"/>
              </w:rPr>
              <w:t>□</w:t>
            </w:r>
            <w:r>
              <w:rPr>
                <w:rFonts w:hAnsi="宋体"/>
                <w:sz w:val="24"/>
              </w:rPr>
              <w:t>改建</w:t>
            </w:r>
          </w:p>
          <w:p>
            <w:pPr>
              <w:jc w:val="left"/>
              <w:rPr>
                <w:sz w:val="24"/>
              </w:rPr>
            </w:pPr>
            <w:r>
              <w:rPr>
                <w:rFonts w:hint="eastAsia" w:ascii="宋体" w:hAnsi="宋体" w:cs="宋体"/>
                <w:szCs w:val="21"/>
              </w:rPr>
              <w:t>□</w:t>
            </w:r>
            <w:r>
              <w:rPr>
                <w:rFonts w:hAnsi="宋体"/>
                <w:sz w:val="24"/>
              </w:rPr>
              <w:t>扩建</w:t>
            </w:r>
          </w:p>
          <w:p>
            <w:pPr>
              <w:jc w:val="left"/>
              <w:rPr>
                <w:sz w:val="24"/>
              </w:rPr>
            </w:pPr>
            <w:r>
              <w:rPr>
                <w:rFonts w:hint="eastAsia" w:ascii="宋体" w:hAnsi="宋体" w:cs="宋体"/>
                <w:szCs w:val="21"/>
              </w:rPr>
              <w:t>□</w:t>
            </w:r>
            <w:r>
              <w:rPr>
                <w:rFonts w:hAnsi="宋体"/>
                <w:sz w:val="24"/>
              </w:rPr>
              <w:t>技术改造</w:t>
            </w:r>
          </w:p>
        </w:tc>
        <w:tc>
          <w:tcPr>
            <w:tcW w:w="1985" w:type="dxa"/>
            <w:vAlign w:val="center"/>
          </w:tcPr>
          <w:p>
            <w:pPr>
              <w:adjustRightInd w:val="0"/>
              <w:snapToGrid w:val="0"/>
              <w:jc w:val="center"/>
              <w:rPr>
                <w:sz w:val="24"/>
              </w:rPr>
            </w:pPr>
            <w:r>
              <w:rPr>
                <w:rFonts w:hAnsi="宋体"/>
                <w:sz w:val="24"/>
              </w:rPr>
              <w:t>建设项目</w:t>
            </w:r>
          </w:p>
          <w:p>
            <w:pPr>
              <w:adjustRightInd w:val="0"/>
              <w:snapToGrid w:val="0"/>
              <w:jc w:val="center"/>
              <w:rPr>
                <w:sz w:val="24"/>
              </w:rPr>
            </w:pPr>
            <w:r>
              <w:rPr>
                <w:rFonts w:hAnsi="宋体"/>
                <w:sz w:val="24"/>
              </w:rPr>
              <w:t>申报情形</w:t>
            </w:r>
          </w:p>
        </w:tc>
        <w:tc>
          <w:tcPr>
            <w:tcW w:w="2940" w:type="dxa"/>
            <w:vAlign w:val="center"/>
          </w:tcPr>
          <w:p>
            <w:pPr>
              <w:jc w:val="left"/>
              <w:rPr>
                <w:sz w:val="24"/>
              </w:rPr>
            </w:pPr>
            <w:r>
              <w:rPr>
                <w:rFonts w:hint="eastAsia" w:ascii="宋体" w:hAnsi="宋体" w:cs="宋体"/>
                <w:szCs w:val="21"/>
              </w:rPr>
              <w:t>☑</w:t>
            </w:r>
            <w:r>
              <w:rPr>
                <w:rFonts w:hAnsi="宋体"/>
                <w:sz w:val="24"/>
              </w:rPr>
              <w:t>首次申报项目</w:t>
            </w:r>
            <w:r>
              <w:rPr>
                <w:sz w:val="24"/>
              </w:rPr>
              <w:t xml:space="preserve">             </w:t>
            </w:r>
          </w:p>
          <w:p>
            <w:pPr>
              <w:jc w:val="left"/>
              <w:rPr>
                <w:sz w:val="24"/>
              </w:rPr>
            </w:pPr>
            <w:r>
              <w:rPr>
                <w:rFonts w:hint="eastAsia" w:ascii="宋体" w:hAnsi="宋体" w:cs="宋体"/>
                <w:szCs w:val="21"/>
              </w:rPr>
              <w:t>□</w:t>
            </w:r>
            <w:r>
              <w:rPr>
                <w:rFonts w:hAnsi="宋体"/>
                <w:sz w:val="24"/>
              </w:rPr>
              <w:t>不予批准后再次申报项目</w:t>
            </w:r>
          </w:p>
          <w:p>
            <w:pPr>
              <w:jc w:val="left"/>
              <w:rPr>
                <w:sz w:val="24"/>
              </w:rPr>
            </w:pPr>
            <w:r>
              <w:rPr>
                <w:rFonts w:hint="eastAsia" w:ascii="宋体" w:hAnsi="宋体" w:cs="宋体"/>
                <w:szCs w:val="21"/>
              </w:rPr>
              <w:t>□</w:t>
            </w:r>
            <w:r>
              <w:rPr>
                <w:rFonts w:hAnsi="宋体"/>
                <w:sz w:val="24"/>
              </w:rPr>
              <w:t>超五年重新审核项目</w:t>
            </w:r>
            <w:r>
              <w:rPr>
                <w:sz w:val="24"/>
              </w:rPr>
              <w:t xml:space="preserve">     </w:t>
            </w:r>
          </w:p>
          <w:p>
            <w:pPr>
              <w:jc w:val="left"/>
              <w:rPr>
                <w:sz w:val="24"/>
              </w:rPr>
            </w:pPr>
            <w:r>
              <w:rPr>
                <w:rFonts w:hint="eastAsia" w:ascii="宋体" w:hAnsi="宋体" w:cs="宋体"/>
                <w:szCs w:val="21"/>
              </w:rPr>
              <w:t>□</w:t>
            </w:r>
            <w:r>
              <w:rPr>
                <w:rFonts w:hAnsi="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项目审批（核准</w:t>
            </w:r>
            <w:r>
              <w:rPr>
                <w:sz w:val="24"/>
              </w:rPr>
              <w:t>/</w:t>
            </w:r>
          </w:p>
          <w:p>
            <w:pPr>
              <w:adjustRightInd w:val="0"/>
              <w:snapToGrid w:val="0"/>
              <w:jc w:val="center"/>
              <w:rPr>
                <w:sz w:val="24"/>
              </w:rPr>
            </w:pPr>
            <w:r>
              <w:rPr>
                <w:rFonts w:hAnsi="宋体"/>
                <w:sz w:val="24"/>
              </w:rPr>
              <w:t>备案）部门（选填）</w:t>
            </w:r>
          </w:p>
        </w:tc>
        <w:tc>
          <w:tcPr>
            <w:tcW w:w="2614" w:type="dxa"/>
            <w:vAlign w:val="center"/>
          </w:tcPr>
          <w:p>
            <w:pPr>
              <w:adjustRightInd w:val="0"/>
              <w:snapToGrid w:val="0"/>
              <w:jc w:val="center"/>
              <w:rPr>
                <w:sz w:val="24"/>
              </w:rPr>
            </w:pPr>
            <w:r>
              <w:rPr>
                <w:rFonts w:hint="eastAsia" w:hAnsi="宋体"/>
                <w:sz w:val="24"/>
              </w:rPr>
              <w:t>漯河市郾城区发展和改革委员会</w:t>
            </w:r>
          </w:p>
        </w:tc>
        <w:tc>
          <w:tcPr>
            <w:tcW w:w="1985" w:type="dxa"/>
            <w:vAlign w:val="center"/>
          </w:tcPr>
          <w:p>
            <w:pPr>
              <w:adjustRightInd w:val="0"/>
              <w:snapToGrid w:val="0"/>
              <w:jc w:val="center"/>
              <w:rPr>
                <w:sz w:val="24"/>
              </w:rPr>
            </w:pPr>
            <w:r>
              <w:rPr>
                <w:rFonts w:hAnsi="宋体"/>
                <w:sz w:val="24"/>
              </w:rPr>
              <w:t>项目审批（核准</w:t>
            </w:r>
            <w:r>
              <w:rPr>
                <w:sz w:val="24"/>
              </w:rPr>
              <w:t>/</w:t>
            </w:r>
          </w:p>
          <w:p>
            <w:pPr>
              <w:adjustRightInd w:val="0"/>
              <w:snapToGrid w:val="0"/>
              <w:jc w:val="center"/>
              <w:rPr>
                <w:sz w:val="24"/>
              </w:rPr>
            </w:pPr>
            <w:r>
              <w:rPr>
                <w:rFonts w:hAnsi="宋体"/>
                <w:sz w:val="24"/>
              </w:rPr>
              <w:t>备案）文号（选填）</w:t>
            </w:r>
          </w:p>
        </w:tc>
        <w:tc>
          <w:tcPr>
            <w:tcW w:w="2940"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color w:val="000000"/>
                <w:sz w:val="24"/>
              </w:rPr>
            </w:pPr>
            <w:r>
              <w:rPr>
                <w:rFonts w:hAnsi="宋体"/>
                <w:color w:val="000000"/>
                <w:sz w:val="24"/>
              </w:rPr>
              <w:t>总投资（万元）</w:t>
            </w:r>
          </w:p>
        </w:tc>
        <w:tc>
          <w:tcPr>
            <w:tcW w:w="2614" w:type="dxa"/>
            <w:vAlign w:val="center"/>
          </w:tcPr>
          <w:p>
            <w:pPr>
              <w:adjustRightInd w:val="0"/>
              <w:snapToGrid w:val="0"/>
              <w:jc w:val="center"/>
              <w:rPr>
                <w:color w:val="000000"/>
                <w:sz w:val="24"/>
              </w:rPr>
            </w:pPr>
            <w:r>
              <w:rPr>
                <w:rFonts w:hint="eastAsia"/>
                <w:color w:val="000000"/>
                <w:sz w:val="24"/>
              </w:rPr>
              <w:t>30</w:t>
            </w:r>
          </w:p>
        </w:tc>
        <w:tc>
          <w:tcPr>
            <w:tcW w:w="1985" w:type="dxa"/>
            <w:tcMar>
              <w:top w:w="16" w:type="dxa"/>
              <w:left w:w="16" w:type="dxa"/>
              <w:right w:w="16" w:type="dxa"/>
            </w:tcMar>
            <w:vAlign w:val="center"/>
          </w:tcPr>
          <w:p>
            <w:pPr>
              <w:adjustRightInd w:val="0"/>
              <w:snapToGrid w:val="0"/>
              <w:jc w:val="center"/>
              <w:rPr>
                <w:color w:val="000000"/>
                <w:sz w:val="24"/>
              </w:rPr>
            </w:pPr>
            <w:r>
              <w:rPr>
                <w:rFonts w:hAnsi="宋体"/>
                <w:color w:val="000000"/>
                <w:sz w:val="24"/>
              </w:rPr>
              <w:t>环保投资（万元）</w:t>
            </w:r>
          </w:p>
        </w:tc>
        <w:tc>
          <w:tcPr>
            <w:tcW w:w="2940" w:type="dxa"/>
            <w:vAlign w:val="center"/>
          </w:tcPr>
          <w:p>
            <w:pPr>
              <w:adjustRightInd w:val="0"/>
              <w:snapToGrid w:val="0"/>
              <w:jc w:val="center"/>
              <w:rPr>
                <w:sz w:val="24"/>
              </w:rPr>
            </w:pPr>
            <w:r>
              <w:rPr>
                <w:rFonts w:hint="eastAsia"/>
                <w:sz w:val="24"/>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color w:val="000000"/>
                <w:sz w:val="24"/>
              </w:rPr>
            </w:pPr>
            <w:r>
              <w:rPr>
                <w:rFonts w:hAnsi="宋体"/>
                <w:color w:val="000000"/>
                <w:sz w:val="24"/>
              </w:rPr>
              <w:t>环保投资占比（</w:t>
            </w:r>
            <w:r>
              <w:rPr>
                <w:color w:val="000000"/>
                <w:sz w:val="24"/>
              </w:rPr>
              <w:t>%</w:t>
            </w:r>
            <w:r>
              <w:rPr>
                <w:rFonts w:hAnsi="宋体"/>
                <w:color w:val="000000"/>
                <w:sz w:val="24"/>
              </w:rPr>
              <w:t>）</w:t>
            </w:r>
          </w:p>
        </w:tc>
        <w:tc>
          <w:tcPr>
            <w:tcW w:w="2614" w:type="dxa"/>
            <w:vAlign w:val="center"/>
          </w:tcPr>
          <w:p>
            <w:pPr>
              <w:adjustRightInd w:val="0"/>
              <w:snapToGrid w:val="0"/>
              <w:jc w:val="center"/>
              <w:rPr>
                <w:color w:val="000000"/>
                <w:sz w:val="24"/>
              </w:rPr>
            </w:pPr>
            <w:r>
              <w:rPr>
                <w:rFonts w:hint="eastAsia"/>
                <w:color w:val="000000"/>
                <w:sz w:val="24"/>
              </w:rPr>
              <w:t>12</w:t>
            </w:r>
          </w:p>
        </w:tc>
        <w:tc>
          <w:tcPr>
            <w:tcW w:w="1985" w:type="dxa"/>
            <w:tcMar>
              <w:top w:w="16" w:type="dxa"/>
              <w:left w:w="16" w:type="dxa"/>
              <w:right w:w="16" w:type="dxa"/>
            </w:tcMar>
            <w:vAlign w:val="center"/>
          </w:tcPr>
          <w:p>
            <w:pPr>
              <w:adjustRightInd w:val="0"/>
              <w:snapToGrid w:val="0"/>
              <w:jc w:val="center"/>
              <w:rPr>
                <w:color w:val="000000"/>
                <w:sz w:val="24"/>
              </w:rPr>
            </w:pPr>
            <w:r>
              <w:rPr>
                <w:rFonts w:hAnsi="宋体"/>
                <w:color w:val="000000"/>
                <w:sz w:val="24"/>
              </w:rPr>
              <w:t>施工工期</w:t>
            </w:r>
          </w:p>
        </w:tc>
        <w:tc>
          <w:tcPr>
            <w:tcW w:w="2940" w:type="dxa"/>
            <w:vAlign w:val="center"/>
          </w:tcPr>
          <w:p>
            <w:pPr>
              <w:adjustRightInd w:val="0"/>
              <w:snapToGrid w:val="0"/>
              <w:jc w:val="center"/>
              <w:rPr>
                <w:sz w:val="24"/>
              </w:rPr>
            </w:pP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05" w:type="dxa"/>
            <w:tcMar>
              <w:top w:w="16" w:type="dxa"/>
              <w:left w:w="16" w:type="dxa"/>
              <w:right w:w="16" w:type="dxa"/>
            </w:tcMar>
            <w:vAlign w:val="center"/>
          </w:tcPr>
          <w:p>
            <w:pPr>
              <w:adjustRightInd w:val="0"/>
              <w:snapToGrid w:val="0"/>
              <w:jc w:val="center"/>
              <w:rPr>
                <w:sz w:val="24"/>
              </w:rPr>
            </w:pPr>
            <w:r>
              <w:rPr>
                <w:rFonts w:hAnsi="宋体"/>
                <w:sz w:val="24"/>
              </w:rPr>
              <w:t>是否开工建设</w:t>
            </w:r>
          </w:p>
        </w:tc>
        <w:tc>
          <w:tcPr>
            <w:tcW w:w="2614" w:type="dxa"/>
            <w:vAlign w:val="center"/>
          </w:tcPr>
          <w:p>
            <w:pPr>
              <w:adjustRightInd w:val="0"/>
              <w:snapToGrid w:val="0"/>
              <w:rPr>
                <w:sz w:val="24"/>
              </w:rPr>
            </w:pPr>
            <w:r>
              <w:rPr>
                <w:rFonts w:hint="eastAsia" w:ascii="Segoe UI Symbol" w:hAnsi="Segoe UI Symbol" w:cs="Segoe UI Symbol"/>
              </w:rPr>
              <w:t>□</w:t>
            </w:r>
            <w:r>
              <w:rPr>
                <w:rFonts w:hAnsi="宋体"/>
                <w:sz w:val="24"/>
              </w:rPr>
              <w:t>否</w:t>
            </w:r>
          </w:p>
          <w:p>
            <w:pPr>
              <w:adjustRightInd w:val="0"/>
              <w:snapToGrid w:val="0"/>
              <w:rPr>
                <w:sz w:val="24"/>
              </w:rPr>
            </w:pPr>
            <w:r>
              <w:rPr>
                <w:rFonts w:hint="eastAsia"/>
                <w:sz w:val="24"/>
              </w:rPr>
              <w:t>☑</w:t>
            </w:r>
            <w:r>
              <w:rPr>
                <w:rFonts w:hAnsi="宋体"/>
                <w:sz w:val="24"/>
              </w:rPr>
              <w:t>是：</w:t>
            </w:r>
            <w:r>
              <w:rPr>
                <w:color w:val="000000" w:themeColor="text1"/>
                <w:sz w:val="24"/>
                <w:u w:val="single"/>
                <w14:textFill>
                  <w14:solidFill>
                    <w14:schemeClr w14:val="tx1"/>
                  </w14:solidFill>
                </w14:textFill>
              </w:rPr>
              <w:t xml:space="preserve"> 本项目主体设备已经建成，</w:t>
            </w:r>
            <w:r>
              <w:rPr>
                <w:rFonts w:hint="eastAsia"/>
                <w:color w:val="000000" w:themeColor="text1"/>
                <w:sz w:val="24"/>
                <w:u w:val="single"/>
                <w14:textFill>
                  <w14:solidFill>
                    <w14:schemeClr w14:val="tx1"/>
                  </w14:solidFill>
                </w14:textFill>
              </w:rPr>
              <w:t>行政处罚决定书见附件六、缴费单详见附件七</w:t>
            </w:r>
            <w:r>
              <w:rPr>
                <w:color w:val="000000" w:themeColor="text1"/>
                <w:sz w:val="24"/>
                <w:u w:val="single"/>
                <w14:textFill>
                  <w14:solidFill>
                    <w14:schemeClr w14:val="tx1"/>
                  </w14:solidFill>
                </w14:textFill>
              </w:rPr>
              <w:t xml:space="preserve">         </w:t>
            </w:r>
            <w:r>
              <w:rPr>
                <w:sz w:val="24"/>
                <w:u w:val="single"/>
              </w:rPr>
              <w:t xml:space="preserve">  </w:t>
            </w:r>
          </w:p>
        </w:tc>
        <w:tc>
          <w:tcPr>
            <w:tcW w:w="1985" w:type="dxa"/>
            <w:tcMar>
              <w:top w:w="16" w:type="dxa"/>
              <w:left w:w="16" w:type="dxa"/>
              <w:right w:w="16" w:type="dxa"/>
            </w:tcMar>
            <w:vAlign w:val="center"/>
          </w:tcPr>
          <w:p>
            <w:pPr>
              <w:adjustRightInd w:val="0"/>
              <w:snapToGrid w:val="0"/>
              <w:jc w:val="center"/>
              <w:rPr>
                <w:spacing w:val="-6"/>
                <w:sz w:val="24"/>
              </w:rPr>
            </w:pPr>
            <w:r>
              <w:rPr>
                <w:rFonts w:hAnsi="宋体"/>
                <w:spacing w:val="-6"/>
                <w:sz w:val="24"/>
              </w:rPr>
              <w:t>用地（用海）</w:t>
            </w:r>
          </w:p>
          <w:p>
            <w:pPr>
              <w:adjustRightInd w:val="0"/>
              <w:snapToGrid w:val="0"/>
              <w:jc w:val="center"/>
              <w:rPr>
                <w:sz w:val="24"/>
              </w:rPr>
            </w:pPr>
            <w:r>
              <w:rPr>
                <w:rFonts w:hAnsi="宋体"/>
                <w:spacing w:val="-6"/>
                <w:sz w:val="24"/>
              </w:rPr>
              <w:t>面积（</w:t>
            </w:r>
            <w:r>
              <w:rPr>
                <w:spacing w:val="-6"/>
                <w:sz w:val="24"/>
              </w:rPr>
              <w:t>m</w:t>
            </w:r>
            <w:r>
              <w:rPr>
                <w:spacing w:val="-6"/>
                <w:sz w:val="24"/>
                <w:vertAlign w:val="superscript"/>
              </w:rPr>
              <w:t>2</w:t>
            </w:r>
            <w:r>
              <w:rPr>
                <w:rFonts w:hAnsi="宋体"/>
                <w:spacing w:val="-6"/>
                <w:sz w:val="24"/>
              </w:rPr>
              <w:t>）</w:t>
            </w:r>
          </w:p>
        </w:tc>
        <w:tc>
          <w:tcPr>
            <w:tcW w:w="2940" w:type="dxa"/>
            <w:vAlign w:val="center"/>
          </w:tcPr>
          <w:p>
            <w:pPr>
              <w:adjustRightInd w:val="0"/>
              <w:snapToGrid w:val="0"/>
              <w:jc w:val="center"/>
              <w:rPr>
                <w:sz w:val="24"/>
              </w:rPr>
            </w:pPr>
            <w:r>
              <w:rPr>
                <w:rFonts w:hint="eastAsia"/>
                <w:sz w:val="24"/>
              </w:rPr>
              <w:t>1200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405" w:type="dxa"/>
            <w:vAlign w:val="center"/>
          </w:tcPr>
          <w:p>
            <w:pPr>
              <w:autoSpaceDE w:val="0"/>
              <w:autoSpaceDN w:val="0"/>
              <w:adjustRightInd w:val="0"/>
              <w:snapToGrid w:val="0"/>
              <w:jc w:val="center"/>
              <w:rPr>
                <w:kern w:val="0"/>
                <w:sz w:val="24"/>
              </w:rPr>
            </w:pPr>
            <w:r>
              <w:rPr>
                <w:rFonts w:hAnsi="宋体"/>
                <w:kern w:val="0"/>
                <w:sz w:val="24"/>
              </w:rPr>
              <w:t>专项评价设置情况</w:t>
            </w:r>
          </w:p>
        </w:tc>
        <w:tc>
          <w:tcPr>
            <w:tcW w:w="7539" w:type="dxa"/>
            <w:gridSpan w:val="3"/>
            <w:vAlign w:val="center"/>
          </w:tcPr>
          <w:p>
            <w:pPr>
              <w:autoSpaceDE w:val="0"/>
              <w:autoSpaceDN w:val="0"/>
              <w:adjustRightInd w:val="0"/>
              <w:snapToGrid w:val="0"/>
              <w:jc w:val="center"/>
              <w:rPr>
                <w:kern w:val="0"/>
                <w:sz w:val="24"/>
              </w:rPr>
            </w:pPr>
            <w:r>
              <w:rPr>
                <w:rFonts w:hAnsi="宋体"/>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05" w:type="dxa"/>
            <w:vAlign w:val="center"/>
          </w:tcPr>
          <w:p>
            <w:pPr>
              <w:autoSpaceDE w:val="0"/>
              <w:autoSpaceDN w:val="0"/>
              <w:adjustRightInd w:val="0"/>
              <w:snapToGrid w:val="0"/>
              <w:jc w:val="center"/>
              <w:rPr>
                <w:kern w:val="0"/>
                <w:sz w:val="24"/>
              </w:rPr>
            </w:pPr>
            <w:r>
              <w:rPr>
                <w:rFonts w:hAnsi="宋体"/>
                <w:sz w:val="24"/>
              </w:rPr>
              <w:t>规划情况</w:t>
            </w:r>
          </w:p>
        </w:tc>
        <w:tc>
          <w:tcPr>
            <w:tcW w:w="7539" w:type="dxa"/>
            <w:gridSpan w:val="3"/>
            <w:vAlign w:val="center"/>
          </w:tcPr>
          <w:p>
            <w:pPr>
              <w:autoSpaceDE w:val="0"/>
              <w:autoSpaceDN w:val="0"/>
              <w:adjustRightInd w:val="0"/>
              <w:snapToGrid w:val="0"/>
              <w:jc w:val="center"/>
              <w:rPr>
                <w:kern w:val="0"/>
                <w:sz w:val="24"/>
              </w:rPr>
            </w:pPr>
            <w:r>
              <w:rPr>
                <w:rFonts w:hAnsi="宋体"/>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05" w:type="dxa"/>
            <w:vAlign w:val="center"/>
          </w:tcPr>
          <w:p>
            <w:pPr>
              <w:adjustRightInd w:val="0"/>
              <w:snapToGrid w:val="0"/>
              <w:jc w:val="center"/>
              <w:rPr>
                <w:sz w:val="24"/>
              </w:rPr>
            </w:pPr>
            <w:r>
              <w:rPr>
                <w:rFonts w:hAnsi="宋体"/>
                <w:sz w:val="24"/>
              </w:rPr>
              <w:t>规划环境影响</w:t>
            </w:r>
          </w:p>
          <w:p>
            <w:pPr>
              <w:adjustRightInd w:val="0"/>
              <w:snapToGrid w:val="0"/>
              <w:jc w:val="center"/>
              <w:rPr>
                <w:kern w:val="0"/>
                <w:sz w:val="24"/>
              </w:rPr>
            </w:pPr>
            <w:r>
              <w:rPr>
                <w:rFonts w:hAnsi="宋体"/>
                <w:sz w:val="24"/>
              </w:rPr>
              <w:t>评价情况</w:t>
            </w:r>
          </w:p>
        </w:tc>
        <w:tc>
          <w:tcPr>
            <w:tcW w:w="7539" w:type="dxa"/>
            <w:gridSpan w:val="3"/>
            <w:vAlign w:val="center"/>
          </w:tcPr>
          <w:p>
            <w:pPr>
              <w:autoSpaceDE w:val="0"/>
              <w:autoSpaceDN w:val="0"/>
              <w:adjustRightInd w:val="0"/>
              <w:snapToGrid w:val="0"/>
              <w:jc w:val="center"/>
              <w:rPr>
                <w:kern w:val="0"/>
                <w:sz w:val="24"/>
              </w:rPr>
            </w:pPr>
            <w:r>
              <w:rPr>
                <w:rFonts w:hAnsi="宋体"/>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05" w:type="dxa"/>
            <w:vAlign w:val="center"/>
          </w:tcPr>
          <w:p>
            <w:pPr>
              <w:autoSpaceDE w:val="0"/>
              <w:autoSpaceDN w:val="0"/>
              <w:adjustRightInd w:val="0"/>
              <w:snapToGrid w:val="0"/>
              <w:jc w:val="center"/>
              <w:rPr>
                <w:kern w:val="0"/>
                <w:sz w:val="24"/>
              </w:rPr>
            </w:pPr>
            <w:r>
              <w:rPr>
                <w:rFonts w:hAnsi="宋体"/>
                <w:kern w:val="0"/>
                <w:sz w:val="24"/>
              </w:rPr>
              <w:t>规划及规划环境</w:t>
            </w:r>
          </w:p>
          <w:p>
            <w:pPr>
              <w:autoSpaceDE w:val="0"/>
              <w:autoSpaceDN w:val="0"/>
              <w:adjustRightInd w:val="0"/>
              <w:snapToGrid w:val="0"/>
              <w:jc w:val="center"/>
              <w:rPr>
                <w:kern w:val="0"/>
                <w:sz w:val="24"/>
              </w:rPr>
            </w:pPr>
            <w:r>
              <w:rPr>
                <w:rFonts w:hAnsi="宋体"/>
                <w:kern w:val="0"/>
                <w:sz w:val="24"/>
              </w:rPr>
              <w:t>影响评价符合性分析</w:t>
            </w:r>
          </w:p>
        </w:tc>
        <w:tc>
          <w:tcPr>
            <w:tcW w:w="7539" w:type="dxa"/>
            <w:gridSpan w:val="3"/>
            <w:vAlign w:val="center"/>
          </w:tcPr>
          <w:p>
            <w:pPr>
              <w:widowControl/>
              <w:spacing w:line="360" w:lineRule="auto"/>
              <w:jc w:val="center"/>
              <w:rPr>
                <w:kern w:val="0"/>
                <w:sz w:val="24"/>
              </w:rPr>
            </w:pPr>
            <w:r>
              <w:rPr>
                <w:rFonts w:hint="eastAsia"/>
                <w:color w:val="000000"/>
                <w:sz w:val="24"/>
              </w:rPr>
              <w:t xml:space="preserve">   </w:t>
            </w:r>
            <w:r>
              <w:rPr>
                <w:color w:val="000000"/>
                <w:sz w:val="24"/>
              </w:rPr>
              <w:t>本项目位于漯河市郾城区孟庙镇</w:t>
            </w:r>
            <w:r>
              <w:rPr>
                <w:rFonts w:hint="eastAsia"/>
                <w:color w:val="000000"/>
                <w:sz w:val="24"/>
              </w:rPr>
              <w:t>纬十路</w:t>
            </w:r>
            <w:r>
              <w:rPr>
                <w:color w:val="000000"/>
                <w:sz w:val="24"/>
              </w:rPr>
              <w:t>，本项目符合</w:t>
            </w:r>
            <w:r>
              <w:rPr>
                <w:rFonts w:hint="eastAsia"/>
                <w:color w:val="000000"/>
                <w:sz w:val="24"/>
              </w:rPr>
              <w:t>孟庙镇</w:t>
            </w:r>
            <w:r>
              <w:rPr>
                <w:color w:val="000000"/>
                <w:sz w:val="24"/>
              </w:rPr>
              <w:t>整体规划；</w:t>
            </w:r>
            <w:r>
              <w:rPr>
                <w:sz w:val="24"/>
              </w:rPr>
              <w:t>根据漯河市</w:t>
            </w:r>
            <w:r>
              <w:rPr>
                <w:rFonts w:hint="eastAsia"/>
                <w:sz w:val="24"/>
              </w:rPr>
              <w:t>郾城区孟庙镇用地规划图</w:t>
            </w:r>
            <w:r>
              <w:rPr>
                <w:sz w:val="24"/>
              </w:rPr>
              <w:t>（见附</w:t>
            </w:r>
            <w:r>
              <w:rPr>
                <w:rFonts w:hint="eastAsia"/>
                <w:sz w:val="24"/>
              </w:rPr>
              <w:t>图五</w:t>
            </w:r>
            <w:r>
              <w:rPr>
                <w:sz w:val="24"/>
              </w:rPr>
              <w:t>）</w:t>
            </w:r>
            <w:r>
              <w:rPr>
                <w:color w:val="000000"/>
                <w:sz w:val="24"/>
              </w:rPr>
              <w:t>项目占地类型为建设用地；</w:t>
            </w:r>
            <w:r>
              <w:rPr>
                <w:rFonts w:hint="eastAsia"/>
                <w:color w:val="000000"/>
                <w:sz w:val="24"/>
              </w:rPr>
              <w:t>因此本项目选址可行。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05" w:type="dxa"/>
            <w:vAlign w:val="center"/>
          </w:tcPr>
          <w:p>
            <w:pPr>
              <w:autoSpaceDE w:val="0"/>
              <w:autoSpaceDN w:val="0"/>
              <w:adjustRightInd w:val="0"/>
              <w:snapToGrid w:val="0"/>
              <w:jc w:val="center"/>
              <w:rPr>
                <w:rFonts w:hAnsi="宋体"/>
                <w:kern w:val="0"/>
                <w:sz w:val="24"/>
              </w:rPr>
            </w:pPr>
            <w:r>
              <w:rPr>
                <w:rFonts w:hAnsi="宋体"/>
                <w:kern w:val="0"/>
                <w:sz w:val="24"/>
              </w:rPr>
              <w:t>其他符合性分析</w:t>
            </w:r>
          </w:p>
          <w:p>
            <w:pPr>
              <w:autoSpaceDE w:val="0"/>
              <w:autoSpaceDN w:val="0"/>
              <w:adjustRightInd w:val="0"/>
              <w:snapToGrid w:val="0"/>
              <w:jc w:val="center"/>
              <w:rPr>
                <w:rFonts w:hAnsi="宋体"/>
                <w:kern w:val="0"/>
                <w:sz w:val="24"/>
              </w:rPr>
            </w:pPr>
          </w:p>
          <w:p>
            <w:pPr>
              <w:autoSpaceDE w:val="0"/>
              <w:autoSpaceDN w:val="0"/>
              <w:adjustRightInd w:val="0"/>
              <w:snapToGrid w:val="0"/>
              <w:rPr>
                <w:kern w:val="0"/>
                <w:szCs w:val="21"/>
              </w:rPr>
            </w:pPr>
            <w:r>
              <w:rPr>
                <w:rFonts w:hint="eastAsia"/>
                <w:kern w:val="0"/>
                <w:szCs w:val="21"/>
              </w:rPr>
              <w:t xml:space="preserve">   </w:t>
            </w:r>
          </w:p>
          <w:p>
            <w:pPr>
              <w:autoSpaceDE w:val="0"/>
              <w:autoSpaceDN w:val="0"/>
              <w:adjustRightInd w:val="0"/>
              <w:snapToGrid w:val="0"/>
              <w:jc w:val="center"/>
              <w:rPr>
                <w:kern w:val="0"/>
                <w:szCs w:val="21"/>
              </w:rPr>
            </w:pPr>
          </w:p>
          <w:p>
            <w:pPr>
              <w:autoSpaceDE w:val="0"/>
              <w:autoSpaceDN w:val="0"/>
              <w:adjustRightInd w:val="0"/>
              <w:snapToGrid w:val="0"/>
              <w:jc w:val="center"/>
              <w:rPr>
                <w:kern w:val="0"/>
                <w:szCs w:val="21"/>
              </w:rPr>
            </w:pPr>
          </w:p>
          <w:p>
            <w:pPr>
              <w:autoSpaceDE w:val="0"/>
              <w:autoSpaceDN w:val="0"/>
              <w:adjustRightInd w:val="0"/>
              <w:snapToGrid w:val="0"/>
              <w:jc w:val="center"/>
              <w:rPr>
                <w:kern w:val="0"/>
                <w:szCs w:val="21"/>
              </w:rPr>
            </w:pPr>
          </w:p>
          <w:p>
            <w:pPr>
              <w:autoSpaceDE w:val="0"/>
              <w:autoSpaceDN w:val="0"/>
              <w:adjustRightInd w:val="0"/>
              <w:snapToGrid w:val="0"/>
              <w:jc w:val="center"/>
              <w:rPr>
                <w:kern w:val="0"/>
                <w:szCs w:val="21"/>
              </w:rPr>
            </w:pPr>
          </w:p>
          <w:p>
            <w:pPr>
              <w:autoSpaceDE w:val="0"/>
              <w:autoSpaceDN w:val="0"/>
              <w:adjustRightInd w:val="0"/>
              <w:snapToGrid w:val="0"/>
              <w:jc w:val="center"/>
              <w:rPr>
                <w:kern w:val="0"/>
                <w:szCs w:val="21"/>
              </w:rPr>
            </w:pPr>
          </w:p>
          <w:p>
            <w:pPr>
              <w:autoSpaceDE w:val="0"/>
              <w:autoSpaceDN w:val="0"/>
              <w:adjustRightInd w:val="0"/>
              <w:snapToGrid w:val="0"/>
              <w:jc w:val="center"/>
              <w:rPr>
                <w:kern w:val="0"/>
                <w:szCs w:val="21"/>
              </w:rPr>
            </w:pPr>
          </w:p>
          <w:p>
            <w:pPr>
              <w:autoSpaceDE w:val="0"/>
              <w:autoSpaceDN w:val="0"/>
              <w:adjustRightInd w:val="0"/>
              <w:snapToGrid w:val="0"/>
              <w:rPr>
                <w:kern w:val="0"/>
                <w:szCs w:val="21"/>
              </w:rPr>
            </w:pPr>
          </w:p>
        </w:tc>
        <w:tc>
          <w:tcPr>
            <w:tcW w:w="7539" w:type="dxa"/>
            <w:gridSpan w:val="3"/>
            <w:vAlign w:val="center"/>
          </w:tcPr>
          <w:p>
            <w:pPr>
              <w:autoSpaceDE w:val="0"/>
              <w:autoSpaceDN w:val="0"/>
              <w:adjustRightInd w:val="0"/>
              <w:snapToGrid w:val="0"/>
              <w:spacing w:line="360" w:lineRule="auto"/>
              <w:jc w:val="left"/>
              <w:rPr>
                <w:b/>
                <w:kern w:val="0"/>
                <w:szCs w:val="21"/>
              </w:rPr>
            </w:pPr>
          </w:p>
          <w:p>
            <w:pPr>
              <w:numPr>
                <w:ilvl w:val="0"/>
                <w:numId w:val="2"/>
              </w:numPr>
              <w:spacing w:line="360" w:lineRule="auto"/>
              <w:ind w:left="0" w:firstLine="0"/>
              <w:rPr>
                <w:b/>
                <w:bCs/>
                <w:color w:val="000000"/>
                <w:sz w:val="24"/>
              </w:rPr>
            </w:pPr>
            <w:r>
              <w:rPr>
                <w:rFonts w:hint="eastAsia"/>
                <w:b/>
                <w:bCs/>
                <w:color w:val="000000"/>
                <w:sz w:val="24"/>
              </w:rPr>
              <w:t>产业政策符合性分析</w:t>
            </w:r>
          </w:p>
          <w:p>
            <w:pPr>
              <w:spacing w:line="360" w:lineRule="auto"/>
              <w:ind w:firstLine="480" w:firstLineChars="200"/>
              <w:rPr>
                <w:sz w:val="24"/>
              </w:rPr>
            </w:pPr>
            <w:r>
              <w:rPr>
                <w:rFonts w:hint="eastAsia"/>
                <w:sz w:val="24"/>
              </w:rPr>
              <w:t>本项目产品为金属废料和碎屑加工</w:t>
            </w:r>
            <w:r>
              <w:rPr>
                <w:rFonts w:hAnsi="宋体"/>
                <w:sz w:val="24"/>
              </w:rPr>
              <w:t>，</w:t>
            </w:r>
            <w:r>
              <w:rPr>
                <w:sz w:val="24"/>
              </w:rPr>
              <w:t>依据《建设项目环境影响评价分类管理名录》（</w:t>
            </w:r>
            <w:r>
              <w:rPr>
                <w:rFonts w:hint="eastAsia"/>
                <w:sz w:val="24"/>
              </w:rPr>
              <w:t>2021年本</w:t>
            </w:r>
            <w:r>
              <w:rPr>
                <w:sz w:val="24"/>
              </w:rPr>
              <w:t>）</w:t>
            </w:r>
            <w:r>
              <w:rPr>
                <w:rFonts w:hint="eastAsia"/>
                <w:sz w:val="24"/>
              </w:rPr>
              <w:t>，</w:t>
            </w:r>
            <w:r>
              <w:rPr>
                <w:sz w:val="24"/>
              </w:rPr>
              <w:t>本项目属于</w:t>
            </w:r>
            <w:r>
              <w:rPr>
                <w:rFonts w:hint="eastAsia"/>
                <w:sz w:val="24"/>
              </w:rPr>
              <w:t>“三十九</w:t>
            </w:r>
            <w:r>
              <w:rPr>
                <w:sz w:val="24"/>
              </w:rPr>
              <w:t>、</w:t>
            </w:r>
            <w:r>
              <w:rPr>
                <w:rFonts w:hint="eastAsia"/>
                <w:sz w:val="24"/>
              </w:rPr>
              <w:t>废弃资源综合利用业42”</w:t>
            </w:r>
            <w:r>
              <w:rPr>
                <w:sz w:val="24"/>
              </w:rPr>
              <w:t>类第</w:t>
            </w:r>
            <w:r>
              <w:rPr>
                <w:rFonts w:hint="eastAsia"/>
                <w:sz w:val="24"/>
              </w:rPr>
              <w:t>85</w:t>
            </w:r>
            <w:r>
              <w:rPr>
                <w:sz w:val="24"/>
              </w:rPr>
              <w:t>条</w:t>
            </w:r>
            <w:r>
              <w:rPr>
                <w:rFonts w:hint="eastAsia"/>
                <w:sz w:val="24"/>
              </w:rPr>
              <w:t>“金属废料和碎屑加工处理421”</w:t>
            </w:r>
            <w:r>
              <w:rPr>
                <w:sz w:val="24"/>
              </w:rPr>
              <w:t>， 其中</w:t>
            </w:r>
            <w:r>
              <w:rPr>
                <w:rFonts w:hint="eastAsia"/>
                <w:sz w:val="24"/>
              </w:rPr>
              <w:t>废弃电器电子产品、废机动车、废电机、废电线电缆、废钢、废铁、金属和金属化合物矿灰及残渣、有色金属废料与碎屑、废塑料、废轮胎、废船、含水洗工艺的其他废料和碎屑加工处理</w:t>
            </w:r>
            <w:r>
              <w:rPr>
                <w:sz w:val="24"/>
              </w:rPr>
              <w:t>需编制报告表，本项目为</w:t>
            </w:r>
            <w:r>
              <w:rPr>
                <w:rFonts w:hint="eastAsia"/>
                <w:sz w:val="24"/>
              </w:rPr>
              <w:t>废钢、废铁加工</w:t>
            </w:r>
            <w:r>
              <w:rPr>
                <w:sz w:val="24"/>
              </w:rPr>
              <w:t>，需编制环境影响报告表，按照要求本项目应编制环境影响报告表。</w:t>
            </w:r>
          </w:p>
          <w:p>
            <w:pPr>
              <w:spacing w:line="360" w:lineRule="auto"/>
              <w:ind w:firstLine="480" w:firstLineChars="200"/>
              <w:rPr>
                <w:sz w:val="24"/>
              </w:rPr>
            </w:pPr>
            <w:r>
              <w:rPr>
                <w:rFonts w:hint="eastAsia"/>
                <w:sz w:val="24"/>
              </w:rPr>
              <w:t>该项目已在漯河市郾城区发展和改革委员会备案，项目代码为：2109—411103—04—01—813071（备案证明见附件三）。本项目拟建内容与备案相符性分析见1-1。</w:t>
            </w:r>
          </w:p>
          <w:p>
            <w:pPr>
              <w:spacing w:line="360" w:lineRule="auto"/>
              <w:ind w:firstLine="482" w:firstLineChars="200"/>
              <w:jc w:val="center"/>
              <w:rPr>
                <w:rFonts w:ascii="黑体" w:hAnsi="黑体" w:eastAsia="黑体" w:cs="黑体"/>
              </w:rPr>
            </w:pPr>
            <w:r>
              <w:rPr>
                <w:rFonts w:hint="eastAsia"/>
                <w:b/>
                <w:bCs/>
                <w:sz w:val="24"/>
                <w:lang w:val="zh-CN"/>
              </w:rPr>
              <w:t>表1-1 备案内容相符性一览表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2376"/>
              <w:gridCol w:w="235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b/>
                      <w:bCs/>
                      <w:sz w:val="21"/>
                      <w:szCs w:val="21"/>
                      <w:shd w:val="clear" w:color="auto" w:fill="FFFFFF"/>
                    </w:rPr>
                    <w:t>名称</w:t>
                  </w:r>
                </w:p>
              </w:tc>
              <w:tc>
                <w:tcPr>
                  <w:tcW w:w="1624" w:type="pct"/>
                  <w:vAlign w:val="center"/>
                </w:tcPr>
                <w:p>
                  <w:pPr>
                    <w:pStyle w:val="5"/>
                    <w:spacing w:after="0" w:line="240" w:lineRule="auto"/>
                    <w:jc w:val="center"/>
                    <w:rPr>
                      <w:b/>
                      <w:bCs/>
                      <w:sz w:val="21"/>
                      <w:szCs w:val="21"/>
                      <w:shd w:val="clear" w:color="auto" w:fill="FFFFFF"/>
                    </w:rPr>
                  </w:pPr>
                  <w:r>
                    <w:rPr>
                      <w:rFonts w:hint="eastAsia"/>
                      <w:b/>
                      <w:bCs/>
                      <w:sz w:val="21"/>
                      <w:szCs w:val="21"/>
                      <w:shd w:val="clear" w:color="auto" w:fill="FFFFFF"/>
                    </w:rPr>
                    <w:t>备案内容</w:t>
                  </w:r>
                </w:p>
              </w:tc>
              <w:tc>
                <w:tcPr>
                  <w:tcW w:w="1606" w:type="pct"/>
                  <w:vAlign w:val="center"/>
                </w:tcPr>
                <w:p>
                  <w:pPr>
                    <w:pStyle w:val="5"/>
                    <w:spacing w:after="0" w:line="240" w:lineRule="auto"/>
                    <w:jc w:val="center"/>
                    <w:rPr>
                      <w:b/>
                      <w:bCs/>
                      <w:sz w:val="21"/>
                      <w:szCs w:val="21"/>
                      <w:shd w:val="clear" w:color="auto" w:fill="FFFFFF"/>
                    </w:rPr>
                  </w:pPr>
                  <w:r>
                    <w:rPr>
                      <w:rFonts w:hint="eastAsia"/>
                      <w:b/>
                      <w:bCs/>
                      <w:sz w:val="21"/>
                      <w:szCs w:val="21"/>
                      <w:shd w:val="clear" w:color="auto" w:fill="FFFFFF"/>
                    </w:rPr>
                    <w:t>项目拟建内容</w:t>
                  </w:r>
                </w:p>
              </w:tc>
              <w:tc>
                <w:tcPr>
                  <w:tcW w:w="770" w:type="pct"/>
                  <w:vAlign w:val="center"/>
                </w:tcPr>
                <w:p>
                  <w:pPr>
                    <w:pStyle w:val="5"/>
                    <w:spacing w:after="0" w:line="240" w:lineRule="auto"/>
                    <w:jc w:val="center"/>
                    <w:rPr>
                      <w:b/>
                      <w:bCs/>
                      <w:sz w:val="21"/>
                      <w:szCs w:val="21"/>
                      <w:shd w:val="clear" w:color="auto" w:fill="FFFFFF"/>
                    </w:rPr>
                  </w:pPr>
                  <w:r>
                    <w:rPr>
                      <w:b/>
                      <w:bCs/>
                      <w:sz w:val="21"/>
                      <w:szCs w:val="21"/>
                      <w:shd w:val="clear" w:color="auto" w:fill="FFFFFF"/>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项目名称</w:t>
                  </w:r>
                </w:p>
              </w:tc>
              <w:tc>
                <w:tcPr>
                  <w:tcW w:w="1624"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年处理5000吨废铁破碎项目</w:t>
                  </w:r>
                </w:p>
              </w:tc>
              <w:tc>
                <w:tcPr>
                  <w:tcW w:w="1606"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年处理5000吨废铁破碎项目</w:t>
                  </w:r>
                </w:p>
              </w:tc>
              <w:tc>
                <w:tcPr>
                  <w:tcW w:w="770" w:type="pct"/>
                  <w:vAlign w:val="center"/>
                </w:tcPr>
                <w:p>
                  <w:pPr>
                    <w:pStyle w:val="5"/>
                    <w:spacing w:after="0" w:line="240" w:lineRule="auto"/>
                    <w:jc w:val="center"/>
                    <w:rPr>
                      <w:sz w:val="21"/>
                      <w:szCs w:val="21"/>
                      <w:shd w:val="clear" w:color="auto" w:fill="FFFFFF"/>
                    </w:rPr>
                  </w:pPr>
                  <w:r>
                    <w:rPr>
                      <w:sz w:val="21"/>
                      <w:szCs w:val="21"/>
                      <w:shd w:val="clear" w:color="auto" w:fill="FFFFFF"/>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建设单位</w:t>
                  </w:r>
                </w:p>
              </w:tc>
              <w:tc>
                <w:tcPr>
                  <w:tcW w:w="1624"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漯河市腾盛废旧金属回收有限公司</w:t>
                  </w:r>
                </w:p>
              </w:tc>
              <w:tc>
                <w:tcPr>
                  <w:tcW w:w="1606" w:type="pct"/>
                  <w:vAlign w:val="center"/>
                </w:tcPr>
                <w:p>
                  <w:pPr>
                    <w:pStyle w:val="5"/>
                    <w:spacing w:after="0" w:line="240" w:lineRule="auto"/>
                    <w:jc w:val="center"/>
                    <w:rPr>
                      <w:sz w:val="21"/>
                      <w:szCs w:val="21"/>
                      <w:highlight w:val="yellow"/>
                      <w:shd w:val="clear" w:color="auto" w:fill="FFFFFF"/>
                    </w:rPr>
                  </w:pPr>
                  <w:r>
                    <w:rPr>
                      <w:rFonts w:hint="eastAsia"/>
                      <w:sz w:val="21"/>
                      <w:szCs w:val="21"/>
                      <w:shd w:val="clear" w:color="auto" w:fill="FFFFFF"/>
                    </w:rPr>
                    <w:t>漯河市腾盛废旧金属回收有限公司</w:t>
                  </w:r>
                </w:p>
              </w:tc>
              <w:tc>
                <w:tcPr>
                  <w:tcW w:w="770"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建设地点</w:t>
                  </w:r>
                </w:p>
              </w:tc>
              <w:tc>
                <w:tcPr>
                  <w:tcW w:w="1624"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漯河市郾城区纬十路中段漯河市中联再生资源有限公司院内废钢分拣加工中心</w:t>
                  </w:r>
                </w:p>
              </w:tc>
              <w:tc>
                <w:tcPr>
                  <w:tcW w:w="1606"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漯河市郾城区纬十路中段漯河市中联再生资源有限公司院内废钢分拣加工中心</w:t>
                  </w:r>
                </w:p>
              </w:tc>
              <w:tc>
                <w:tcPr>
                  <w:tcW w:w="770"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主要建设内容</w:t>
                  </w:r>
                </w:p>
              </w:tc>
              <w:tc>
                <w:tcPr>
                  <w:tcW w:w="1624"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租赁现有厂房1200平方米建设年处理5000吨废铁破碎项目</w:t>
                  </w:r>
                </w:p>
              </w:tc>
              <w:tc>
                <w:tcPr>
                  <w:tcW w:w="1606"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租赁漯河市中联再生资源有限公司现有闲置厂房，建设年处理5000吨废铁破碎项目</w:t>
                  </w:r>
                </w:p>
              </w:tc>
              <w:tc>
                <w:tcPr>
                  <w:tcW w:w="770"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主要生产工艺</w:t>
                  </w:r>
                </w:p>
              </w:tc>
              <w:tc>
                <w:tcPr>
                  <w:tcW w:w="1624"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废钢铁-剪切、破碎-成品</w:t>
                  </w:r>
                </w:p>
              </w:tc>
              <w:tc>
                <w:tcPr>
                  <w:tcW w:w="1606"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原料-破碎-磁选-成品</w:t>
                  </w:r>
                </w:p>
              </w:tc>
              <w:tc>
                <w:tcPr>
                  <w:tcW w:w="770"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更加细化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主要设备</w:t>
                  </w:r>
                </w:p>
              </w:tc>
              <w:tc>
                <w:tcPr>
                  <w:tcW w:w="1624"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上料输送机、破碎机主机、出料输送机</w:t>
                  </w:r>
                </w:p>
              </w:tc>
              <w:tc>
                <w:tcPr>
                  <w:tcW w:w="1606"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上料输送机、破碎机主机、破碎机主电机、出料皮带机、磁选机</w:t>
                  </w:r>
                </w:p>
              </w:tc>
              <w:tc>
                <w:tcPr>
                  <w:tcW w:w="770" w:type="pct"/>
                  <w:vAlign w:val="center"/>
                </w:tcPr>
                <w:p>
                  <w:pPr>
                    <w:pStyle w:val="5"/>
                    <w:spacing w:after="0" w:line="240" w:lineRule="auto"/>
                    <w:jc w:val="center"/>
                    <w:rPr>
                      <w:sz w:val="21"/>
                      <w:szCs w:val="21"/>
                      <w:shd w:val="clear" w:color="auto" w:fill="FFFFFF"/>
                    </w:rPr>
                  </w:pPr>
                  <w:r>
                    <w:rPr>
                      <w:rFonts w:hint="eastAsia"/>
                      <w:sz w:val="21"/>
                      <w:szCs w:val="21"/>
                      <w:shd w:val="clear" w:color="auto" w:fill="FFFFFF"/>
                    </w:rPr>
                    <w:t>更加细化</w:t>
                  </w:r>
                </w:p>
              </w:tc>
            </w:tr>
          </w:tbl>
          <w:p>
            <w:pPr>
              <w:spacing w:line="360" w:lineRule="auto"/>
              <w:rPr>
                <w:sz w:val="24"/>
              </w:rPr>
            </w:pPr>
          </w:p>
          <w:p>
            <w:pPr>
              <w:numPr>
                <w:ilvl w:val="0"/>
                <w:numId w:val="2"/>
              </w:numPr>
              <w:spacing w:line="360" w:lineRule="auto"/>
              <w:ind w:left="0" w:firstLine="0"/>
              <w:rPr>
                <w:b/>
                <w:sz w:val="24"/>
              </w:rPr>
            </w:pPr>
            <w:r>
              <w:rPr>
                <w:rFonts w:hint="eastAsia"/>
                <w:b/>
                <w:sz w:val="24"/>
              </w:rPr>
              <w:t>与“</w:t>
            </w:r>
            <w:r>
              <w:rPr>
                <w:b/>
                <w:bCs/>
                <w:color w:val="000000"/>
                <w:sz w:val="24"/>
              </w:rPr>
              <w:t>三线一单</w:t>
            </w:r>
            <w:r>
              <w:rPr>
                <w:rFonts w:hint="eastAsia"/>
                <w:b/>
                <w:sz w:val="24"/>
              </w:rPr>
              <w:t>”</w:t>
            </w:r>
            <w:r>
              <w:rPr>
                <w:b/>
                <w:sz w:val="24"/>
              </w:rPr>
              <w:t>控制要求相符性分析</w:t>
            </w:r>
          </w:p>
          <w:p>
            <w:pPr>
              <w:spacing w:line="360" w:lineRule="auto"/>
              <w:ind w:firstLine="480" w:firstLineChars="200"/>
              <w:rPr>
                <w:bCs/>
                <w:sz w:val="24"/>
              </w:rPr>
            </w:pPr>
            <w:r>
              <w:rPr>
                <w:bCs/>
                <w:sz w:val="24"/>
              </w:rPr>
              <w:t>《</w:t>
            </w:r>
            <w:r>
              <w:rPr>
                <w:rFonts w:hint="eastAsia"/>
                <w:bCs/>
                <w:sz w:val="24"/>
              </w:rPr>
              <w:t>关于以改善环境质量为核心加强环境影响评价管理的通知》（环评〔2016〕150号）文件的相关要求：为适应已以改善环境质量为核心的环境管理要求，切实加强环境影响评价管理，落实“生态保护红线、环境质量底线、资源利用上线和环境准入负面清单”约束，更好的发挥环评制度从源头防范环境污染和生态破坏的作用，加快推进改善环境质量。</w:t>
            </w:r>
          </w:p>
          <w:p>
            <w:pPr>
              <w:spacing w:line="360" w:lineRule="auto"/>
              <w:ind w:firstLine="480" w:firstLineChars="200"/>
              <w:rPr>
                <w:bCs/>
                <w:sz w:val="24"/>
              </w:rPr>
            </w:pPr>
            <w:r>
              <w:rPr>
                <w:bCs/>
                <w:sz w:val="24"/>
              </w:rPr>
              <w:t>《</w:t>
            </w:r>
            <w:r>
              <w:rPr>
                <w:rFonts w:hint="eastAsia"/>
                <w:bCs/>
                <w:sz w:val="24"/>
              </w:rPr>
              <w:t>河南省人民政府关于实施“三线一单”生态环境分区管控的意见</w:t>
            </w:r>
            <w:r>
              <w:rPr>
                <w:bCs/>
                <w:sz w:val="24"/>
              </w:rPr>
              <w:t>》(</w:t>
            </w:r>
            <w:r>
              <w:rPr>
                <w:rFonts w:hint="eastAsia"/>
                <w:bCs/>
                <w:sz w:val="24"/>
              </w:rPr>
              <w:t>豫政〔2020〕37号</w:t>
            </w:r>
            <w:r>
              <w:rPr>
                <w:bCs/>
                <w:sz w:val="24"/>
              </w:rPr>
              <w:t>)</w:t>
            </w:r>
            <w:r>
              <w:rPr>
                <w:rFonts w:hint="eastAsia"/>
                <w:bCs/>
                <w:sz w:val="24"/>
              </w:rPr>
              <w:t>总体目标：</w:t>
            </w:r>
          </w:p>
          <w:p>
            <w:pPr>
              <w:spacing w:line="360" w:lineRule="auto"/>
              <w:ind w:firstLine="480" w:firstLineChars="200"/>
              <w:rPr>
                <w:bCs/>
                <w:sz w:val="24"/>
              </w:rPr>
            </w:pPr>
            <w:r>
              <w:rPr>
                <w:rFonts w:hint="eastAsia"/>
                <w:bCs/>
                <w:sz w:val="24"/>
              </w:rPr>
              <w:t>到2025年，国土空间开发保护格局得到优化，生产生活方式绿色转型成效显著，能源资源配置更加合理、利用效率大幅提高，主要污染物排放总量持续减少，生态环境质量持续改善，生态安全屏障更加牢固，城乡人居环境明显改善。到2035年，节约资源和保护生态环境的空间格局、生产方式、生活方式、总体形成，产业、能源、运输和用地结构得到优化，生态环境质量实现根本好转，美丽河南建设目标基本实现。</w:t>
            </w:r>
          </w:p>
          <w:p>
            <w:pPr>
              <w:spacing w:line="360" w:lineRule="auto"/>
              <w:ind w:firstLine="480" w:firstLineChars="200"/>
              <w:rPr>
                <w:bCs/>
                <w:sz w:val="24"/>
              </w:rPr>
            </w:pPr>
            <w:r>
              <w:rPr>
                <w:rFonts w:hint="eastAsia"/>
                <w:bCs/>
                <w:sz w:val="24"/>
              </w:rPr>
              <w:t>主要内容：分生态环境管控单元。按照生态保护红线、环境质量底线、资源利用上线等相关要求，划定全省优先保护单元、重点管控单元和一般管控单元三类生态环境管控单元，并实施分类管控。为确保政策协同，划定的各类生态环境管控单元的数量、面积和地域分布依照国土空间规划明确的空间格局、约束性指标等调整确定。</w:t>
            </w:r>
          </w:p>
          <w:p>
            <w:pPr>
              <w:spacing w:line="360" w:lineRule="auto"/>
              <w:ind w:firstLine="480" w:firstLineChars="200"/>
              <w:rPr>
                <w:bCs/>
                <w:sz w:val="24"/>
              </w:rPr>
            </w:pPr>
            <w:r>
              <w:rPr>
                <w:rFonts w:hint="eastAsia"/>
                <w:bCs/>
                <w:sz w:val="24"/>
              </w:rPr>
              <w:t>——优先保护单元。指具有一定生态功能、以生态环境保护为主的区域。突出空间用途管控，以生态环境保护优先为原则，依法禁止或限制有关开发建设活动，优先开展生态保护修复，提高生态系统服务功能，确保生态环境功能不降低。</w:t>
            </w:r>
          </w:p>
          <w:p>
            <w:pPr>
              <w:spacing w:line="360" w:lineRule="auto"/>
              <w:ind w:firstLine="480" w:firstLineChars="200"/>
              <w:rPr>
                <w:bCs/>
                <w:sz w:val="24"/>
              </w:rPr>
            </w:pPr>
            <w:r>
              <w:rPr>
                <w:rFonts w:hint="eastAsia"/>
                <w:bCs/>
                <w:sz w:val="24"/>
              </w:rPr>
              <w:t>——重点管控单元。指人口密集、资源开发强度较大、污染物排放强度相对较高的区域。主要推动空间布局优化和产业结构转型升级，深化污染治理，提高资源利用效率，减少污染物排放，防控生态环境风险，守住环境质量底线。</w:t>
            </w:r>
          </w:p>
          <w:p>
            <w:pPr>
              <w:spacing w:line="360" w:lineRule="auto"/>
              <w:ind w:firstLine="480" w:firstLineChars="200"/>
              <w:rPr>
                <w:bCs/>
                <w:sz w:val="24"/>
              </w:rPr>
            </w:pPr>
            <w:r>
              <w:rPr>
                <w:rFonts w:hint="eastAsia"/>
                <w:bCs/>
                <w:sz w:val="24"/>
              </w:rPr>
              <w:t>——一般管控单元。指除优先保护单元、重点管控单元以外的其他区域。主要落实生态环境保护的基本要求，生态环境状况得到保持或优化。</w:t>
            </w:r>
          </w:p>
          <w:p>
            <w:pPr>
              <w:spacing w:line="360" w:lineRule="auto"/>
              <w:ind w:firstLine="480" w:firstLineChars="200"/>
              <w:rPr>
                <w:bCs/>
                <w:sz w:val="24"/>
              </w:rPr>
            </w:pPr>
            <w:r>
              <w:rPr>
                <w:bCs/>
                <w:sz w:val="24"/>
              </w:rPr>
              <w:t>①生态保护红线相符性分析</w:t>
            </w:r>
          </w:p>
          <w:p>
            <w:pPr>
              <w:spacing w:line="360" w:lineRule="auto"/>
              <w:ind w:firstLine="480" w:firstLineChars="200"/>
              <w:rPr>
                <w:bCs/>
                <w:sz w:val="24"/>
              </w:rPr>
            </w:pPr>
            <w:r>
              <w:rPr>
                <w:bCs/>
                <w:sz w:val="24"/>
              </w:rPr>
              <w:t>本项目位于</w:t>
            </w:r>
            <w:r>
              <w:rPr>
                <w:rFonts w:hint="eastAsia"/>
                <w:bCs/>
                <w:sz w:val="24"/>
              </w:rPr>
              <w:t>河南省漯河市郾城区纬十路中段漯河市中联再生资源有限公司院内</w:t>
            </w:r>
            <w:r>
              <w:rPr>
                <w:bCs/>
                <w:sz w:val="24"/>
              </w:rPr>
              <w:t>，根据《河南省生态保护红线划定方案》（征求意见稿），项目不在河南省生态保护红线区范围内，符合生态保护红线要求。</w:t>
            </w:r>
          </w:p>
          <w:p>
            <w:pPr>
              <w:spacing w:line="360" w:lineRule="auto"/>
              <w:ind w:firstLine="480" w:firstLineChars="200"/>
              <w:rPr>
                <w:bCs/>
                <w:sz w:val="24"/>
              </w:rPr>
            </w:pPr>
            <w:r>
              <w:rPr>
                <w:bCs/>
                <w:sz w:val="24"/>
              </w:rPr>
              <w:t>②环境质量底线相符性分析</w:t>
            </w:r>
          </w:p>
          <w:p>
            <w:pPr>
              <w:spacing w:line="360" w:lineRule="auto"/>
              <w:ind w:firstLine="480" w:firstLineChars="200"/>
              <w:rPr>
                <w:bCs/>
                <w:sz w:val="24"/>
              </w:rPr>
            </w:pPr>
            <w:r>
              <w:rPr>
                <w:bCs/>
                <w:sz w:val="24"/>
              </w:rPr>
              <w:t>本项目所在区域的环境质量底线为：环境空气质量目标为《环境空气质量标准》（GB3095-2012）二级标准，水环境质量目标为《地表水环境质量标准》（GB3838-2002）</w:t>
            </w:r>
            <w:r>
              <w:rPr>
                <w:rFonts w:hint="eastAsia"/>
                <w:bCs/>
                <w:sz w:val="24"/>
              </w:rPr>
              <w:t>III</w:t>
            </w:r>
            <w:r>
              <w:rPr>
                <w:bCs/>
                <w:sz w:val="24"/>
              </w:rPr>
              <w:t>类标准，声环境质量目标为《声环境质量标准》（GB3096-2008）2类区标准。本项目按环评报告提出的污染防治措施后，各污染物均能做到达标排放或妥善处置，对周边环境的影响较小，因此，本项目不会突破当地环境质量底线。</w:t>
            </w:r>
          </w:p>
          <w:p>
            <w:pPr>
              <w:spacing w:line="360" w:lineRule="auto"/>
              <w:ind w:firstLine="480" w:firstLineChars="200"/>
              <w:rPr>
                <w:bCs/>
                <w:sz w:val="24"/>
              </w:rPr>
            </w:pPr>
            <w:r>
              <w:rPr>
                <w:bCs/>
                <w:sz w:val="24"/>
              </w:rPr>
              <w:t>③资源利用上线相符性分析</w:t>
            </w:r>
          </w:p>
          <w:p>
            <w:pPr>
              <w:spacing w:line="360" w:lineRule="auto"/>
              <w:ind w:firstLine="480" w:firstLineChars="200"/>
              <w:rPr>
                <w:bCs/>
                <w:sz w:val="24"/>
              </w:rPr>
            </w:pPr>
            <w:r>
              <w:rPr>
                <w:bCs/>
                <w:sz w:val="24"/>
              </w:rPr>
              <w:t>本项目所用原料均从正规合法单位购得，水和电等公共资源由当地相关单位供应，且整体而言项目所用资源相对较少，也不占用当地其他自然资源和能源，不触及资源利用上线。</w:t>
            </w:r>
          </w:p>
          <w:p>
            <w:pPr>
              <w:spacing w:line="360" w:lineRule="auto"/>
              <w:ind w:firstLine="480" w:firstLineChars="200"/>
              <w:rPr>
                <w:bCs/>
                <w:sz w:val="24"/>
              </w:rPr>
            </w:pPr>
            <w:r>
              <w:rPr>
                <w:bCs/>
                <w:sz w:val="24"/>
              </w:rPr>
              <w:t>④与环境准入负面清单的对照</w:t>
            </w:r>
          </w:p>
          <w:p>
            <w:pPr>
              <w:spacing w:line="360" w:lineRule="auto"/>
              <w:ind w:firstLine="480" w:firstLineChars="200"/>
              <w:rPr>
                <w:bCs/>
                <w:sz w:val="24"/>
              </w:rPr>
            </w:pPr>
            <w:r>
              <w:rPr>
                <w:bCs/>
                <w:sz w:val="24"/>
              </w:rPr>
              <w:t>对照环境功能区划要求，本项目不属于所在环境功能区</w:t>
            </w:r>
            <w:r>
              <w:rPr>
                <w:rFonts w:hint="eastAsia"/>
                <w:bCs/>
                <w:sz w:val="24"/>
              </w:rPr>
              <w:t>“</w:t>
            </w:r>
            <w:r>
              <w:rPr>
                <w:bCs/>
                <w:sz w:val="24"/>
              </w:rPr>
              <w:t>负面清单</w:t>
            </w:r>
            <w:r>
              <w:rPr>
                <w:rFonts w:hint="eastAsia"/>
                <w:bCs/>
                <w:sz w:val="24"/>
              </w:rPr>
              <w:t>”</w:t>
            </w:r>
            <w:r>
              <w:rPr>
                <w:bCs/>
                <w:sz w:val="24"/>
              </w:rPr>
              <w:t>项目。因此，本项目不在环境准入负面清单内。</w:t>
            </w:r>
          </w:p>
          <w:p>
            <w:pPr>
              <w:spacing w:line="360" w:lineRule="auto"/>
              <w:ind w:firstLine="480" w:firstLineChars="200"/>
              <w:rPr>
                <w:sz w:val="24"/>
              </w:rPr>
            </w:pPr>
            <w:r>
              <w:rPr>
                <w:rFonts w:hint="eastAsia"/>
                <w:bCs/>
                <w:sz w:val="24"/>
              </w:rPr>
              <w:t>综上所述</w:t>
            </w:r>
            <w:r>
              <w:rPr>
                <w:bCs/>
                <w:sz w:val="24"/>
              </w:rPr>
              <w:t>，本项目符合</w:t>
            </w:r>
            <w:r>
              <w:rPr>
                <w:rFonts w:hint="eastAsia"/>
                <w:bCs/>
                <w:sz w:val="24"/>
              </w:rPr>
              <w:t>当地生态保护红线要求，不降低项目周边环境质量底线，不超出当地资源利用上线，不在当地的环境准入负面清单中，本项目建设符合“</w:t>
            </w:r>
            <w:r>
              <w:rPr>
                <w:bCs/>
                <w:sz w:val="24"/>
              </w:rPr>
              <w:t>三线一单</w:t>
            </w:r>
            <w:r>
              <w:rPr>
                <w:rFonts w:hint="eastAsia"/>
                <w:bCs/>
                <w:sz w:val="24"/>
              </w:rPr>
              <w:t>”</w:t>
            </w:r>
            <w:r>
              <w:rPr>
                <w:bCs/>
                <w:sz w:val="24"/>
              </w:rPr>
              <w:t>相关要求。</w:t>
            </w:r>
          </w:p>
          <w:p>
            <w:pPr>
              <w:spacing w:line="360" w:lineRule="auto"/>
              <w:rPr>
                <w:b/>
                <w:bCs/>
                <w:sz w:val="24"/>
              </w:rPr>
            </w:pPr>
            <w:r>
              <w:rPr>
                <w:rFonts w:hint="eastAsia"/>
                <w:b/>
                <w:bCs/>
                <w:sz w:val="24"/>
              </w:rPr>
              <w:t>3.项目与《漯河市2021年大气污染防治攻坚战实施方案》（漯环攻坚办【2021】38号）的相符性分析</w:t>
            </w:r>
          </w:p>
          <w:p>
            <w:pPr>
              <w:pStyle w:val="58"/>
              <w:jc w:val="both"/>
              <w:rPr>
                <w:rFonts w:ascii="Times New Roman" w:hAnsi="Times New Roman" w:cs="Times New Roman"/>
                <w:color w:val="auto"/>
                <w:szCs w:val="24"/>
              </w:rPr>
            </w:pPr>
            <w:r>
              <w:rPr>
                <w:rFonts w:ascii="Times New Roman" w:hAnsi="Times New Roman" w:cs="Times New Roman"/>
                <w:color w:val="auto"/>
                <w:szCs w:val="24"/>
              </w:rPr>
              <w:t>一、指导思想</w:t>
            </w:r>
          </w:p>
          <w:p>
            <w:pPr>
              <w:pStyle w:val="58"/>
              <w:jc w:val="both"/>
              <w:rPr>
                <w:rFonts w:ascii="Times New Roman" w:hAnsi="Times New Roman" w:cs="Times New Roman"/>
                <w:color w:val="auto"/>
                <w:szCs w:val="24"/>
                <w:lang w:val="en-US"/>
              </w:rPr>
            </w:pPr>
            <w:r>
              <w:rPr>
                <w:rFonts w:ascii="Times New Roman" w:hAnsi="Times New Roman" w:cs="Times New Roman"/>
                <w:color w:val="auto"/>
                <w:szCs w:val="24"/>
                <w:lang w:val="en-US"/>
              </w:rPr>
              <w:t>以习近平新时代中国特色社会主义思想为指导，深入贯彻习近平生态文明思想和习近平总书记视察河南重要讲话、在黄河流域生态保护和高质量发展座谈会上的重要讲话精神，全面落实党的十九大和十九届二中、三中、四中、五中全会、中央经济工作、中央财经委员会第九次会议精神，按照省委十届十二次全会、省委经济工作会议、省政府工作报告、全国生态环境保护工作会议以及市委市政府关于大气污染防治攻坚的部署要求，准确把握新发展阶段，深入贯彻新发展理念，坚持方向不变、力度不减，突出精准治污、科学治污、依法治污，着力调整优化产业结构、能源结构、运输结构、用地结构和农业投入结构，推动大气污染综合治理、系统治理、源头治理，实施细颗粒物（PM</w:t>
            </w:r>
            <w:r>
              <w:rPr>
                <w:rFonts w:ascii="Times New Roman" w:hAnsi="Times New Roman" w:cs="Times New Roman"/>
                <w:color w:val="auto"/>
                <w:szCs w:val="24"/>
                <w:vertAlign w:val="subscript"/>
                <w:lang w:val="en-US"/>
              </w:rPr>
              <w:t>2.5</w:t>
            </w:r>
            <w:r>
              <w:rPr>
                <w:rFonts w:ascii="Times New Roman" w:hAnsi="Times New Roman" w:cs="Times New Roman"/>
                <w:color w:val="auto"/>
                <w:szCs w:val="24"/>
                <w:lang w:val="en-US"/>
              </w:rPr>
              <w:t>）与臭氧（O</w:t>
            </w:r>
            <w:r>
              <w:rPr>
                <w:rFonts w:ascii="Times New Roman" w:hAnsi="Times New Roman" w:cs="Times New Roman"/>
                <w:color w:val="auto"/>
                <w:szCs w:val="24"/>
                <w:vertAlign w:val="subscript"/>
                <w:lang w:val="en-US"/>
              </w:rPr>
              <w:t>3</w:t>
            </w:r>
            <w:r>
              <w:rPr>
                <w:rFonts w:ascii="Times New Roman" w:hAnsi="Times New Roman" w:cs="Times New Roman"/>
                <w:color w:val="auto"/>
                <w:szCs w:val="24"/>
                <w:lang w:val="en-US"/>
              </w:rPr>
              <w:t>）协同控制，强化挥发性有机物（VOCs）和氮氧化物（NOx）协同治理，统筹空气质量改善和碳达峰工作，推进治理体系和治理能力现代化，深入打好大气污染防治攻坚战，不断增强人民群众蓝天获得感，为“十四五”生态环境保护开好局、起好步，奋力谱写新时代漯河奋勇争先出彩添彩绚丽篇章。</w:t>
            </w:r>
          </w:p>
          <w:p>
            <w:pPr>
              <w:pStyle w:val="58"/>
              <w:jc w:val="both"/>
              <w:rPr>
                <w:rFonts w:ascii="Times New Roman" w:hAnsi="Times New Roman" w:cs="Times New Roman"/>
                <w:color w:val="auto"/>
                <w:szCs w:val="24"/>
              </w:rPr>
            </w:pPr>
            <w:r>
              <w:rPr>
                <w:rFonts w:ascii="Times New Roman" w:hAnsi="Times New Roman" w:cs="Times New Roman"/>
                <w:color w:val="auto"/>
                <w:szCs w:val="24"/>
              </w:rPr>
              <w:t>二、工作目标</w:t>
            </w:r>
          </w:p>
          <w:p>
            <w:pPr>
              <w:pStyle w:val="58"/>
              <w:jc w:val="both"/>
              <w:rPr>
                <w:rFonts w:ascii="Times New Roman" w:hAnsi="Times New Roman" w:cs="Times New Roman"/>
                <w:color w:val="auto"/>
                <w:szCs w:val="24"/>
              </w:rPr>
            </w:pPr>
            <w:r>
              <w:rPr>
                <w:rFonts w:ascii="Times New Roman" w:hAnsi="Times New Roman" w:cs="Times New Roman"/>
                <w:color w:val="auto"/>
                <w:szCs w:val="24"/>
                <w:lang w:val="en-US"/>
              </w:rPr>
              <w:t>年度目标</w:t>
            </w:r>
            <w:r>
              <w:rPr>
                <w:rFonts w:hint="eastAsia" w:ascii="Times New Roman" w:hAnsi="Times New Roman" w:cs="Times New Roman"/>
                <w:color w:val="auto"/>
                <w:szCs w:val="24"/>
                <w:lang w:val="en-US"/>
              </w:rPr>
              <w:t>：</w:t>
            </w:r>
            <w:r>
              <w:rPr>
                <w:rFonts w:ascii="Times New Roman" w:hAnsi="Times New Roman" w:cs="Times New Roman"/>
                <w:color w:val="auto"/>
                <w:szCs w:val="24"/>
                <w:lang w:val="en-US"/>
              </w:rPr>
              <w:t>全市细颗粒物(PM</w:t>
            </w:r>
            <w:r>
              <w:rPr>
                <w:rFonts w:ascii="Times New Roman" w:hAnsi="Times New Roman" w:cs="Times New Roman"/>
                <w:color w:val="auto"/>
                <w:szCs w:val="24"/>
                <w:vertAlign w:val="subscript"/>
                <w:lang w:val="en-US"/>
              </w:rPr>
              <w:t>2.5</w:t>
            </w:r>
            <w:r>
              <w:rPr>
                <w:rFonts w:ascii="Times New Roman" w:hAnsi="Times New Roman" w:cs="Times New Roman"/>
                <w:color w:val="auto"/>
                <w:szCs w:val="24"/>
                <w:lang w:val="en-US"/>
              </w:rPr>
              <w:t>)年均浓度控制在 51 微克/立方米以下，可吸入颗粒物(PM</w:t>
            </w:r>
            <w:r>
              <w:rPr>
                <w:rFonts w:ascii="Times New Roman" w:hAnsi="Times New Roman" w:cs="Times New Roman"/>
                <w:color w:val="auto"/>
                <w:szCs w:val="24"/>
                <w:vertAlign w:val="subscript"/>
                <w:lang w:val="en-US"/>
              </w:rPr>
              <w:t>10</w:t>
            </w:r>
            <w:r>
              <w:rPr>
                <w:rFonts w:ascii="Times New Roman" w:hAnsi="Times New Roman" w:cs="Times New Roman"/>
                <w:color w:val="auto"/>
                <w:szCs w:val="24"/>
                <w:lang w:val="en-US"/>
              </w:rPr>
              <w:t>)年均浓度控制在81微克/立方米以下，臭氧（O</w:t>
            </w:r>
            <w:r>
              <w:rPr>
                <w:rFonts w:ascii="Times New Roman" w:hAnsi="Times New Roman" w:cs="Times New Roman"/>
                <w:color w:val="auto"/>
                <w:szCs w:val="24"/>
                <w:vertAlign w:val="subscript"/>
                <w:lang w:val="en-US"/>
              </w:rPr>
              <w:t>3</w:t>
            </w:r>
            <w:r>
              <w:rPr>
                <w:rFonts w:ascii="Times New Roman" w:hAnsi="Times New Roman" w:cs="Times New Roman"/>
                <w:color w:val="auto"/>
                <w:szCs w:val="24"/>
                <w:lang w:val="en-US"/>
              </w:rPr>
              <w:t xml:space="preserve">）超标天数不超过30天，环境空气质量优良天数不少于257天，重污染天数不超过13天。 </w:t>
            </w:r>
          </w:p>
          <w:p>
            <w:pPr>
              <w:pStyle w:val="58"/>
              <w:jc w:val="both"/>
              <w:rPr>
                <w:rFonts w:ascii="Times New Roman" w:hAnsi="Times New Roman" w:cs="Times New Roman"/>
                <w:color w:val="auto"/>
                <w:szCs w:val="24"/>
                <w:lang w:val="en-US"/>
              </w:rPr>
            </w:pPr>
            <w:r>
              <w:rPr>
                <w:rFonts w:ascii="Times New Roman" w:hAnsi="Times New Roman" w:cs="Times New Roman"/>
                <w:color w:val="auto"/>
                <w:szCs w:val="24"/>
                <w:lang w:val="en-US"/>
              </w:rPr>
              <w:t>阶段目标</w:t>
            </w:r>
            <w:r>
              <w:rPr>
                <w:rFonts w:hint="eastAsia" w:ascii="Times New Roman" w:hAnsi="Times New Roman" w:cs="Times New Roman"/>
                <w:color w:val="auto"/>
                <w:szCs w:val="24"/>
                <w:lang w:val="en-US"/>
              </w:rPr>
              <w:t>：</w:t>
            </w:r>
            <w:r>
              <w:rPr>
                <w:rFonts w:ascii="Times New Roman" w:hAnsi="Times New Roman" w:cs="Times New Roman"/>
                <w:color w:val="auto"/>
                <w:szCs w:val="24"/>
                <w:lang w:val="en-US"/>
              </w:rPr>
              <w:t>第一阶段1-3月PM2.5平均浓度控制在75微克/立方米以下；第二阶段5-9月臭氧（O</w:t>
            </w:r>
            <w:r>
              <w:rPr>
                <w:rFonts w:ascii="Times New Roman" w:hAnsi="Times New Roman" w:cs="Times New Roman"/>
                <w:color w:val="auto"/>
                <w:szCs w:val="24"/>
                <w:vertAlign w:val="subscript"/>
                <w:lang w:val="en-US"/>
              </w:rPr>
              <w:t>3</w:t>
            </w:r>
            <w:r>
              <w:rPr>
                <w:rFonts w:ascii="Times New Roman" w:hAnsi="Times New Roman" w:cs="Times New Roman"/>
                <w:color w:val="auto"/>
                <w:szCs w:val="24"/>
                <w:lang w:val="en-US"/>
              </w:rPr>
              <w:t>）超标天数不超过30天；第三阶段10-1</w:t>
            </w:r>
          </w:p>
          <w:p>
            <w:pPr>
              <w:pStyle w:val="58"/>
              <w:jc w:val="both"/>
              <w:rPr>
                <w:rFonts w:ascii="Times New Roman" w:hAnsi="Times New Roman" w:cs="Times New Roman"/>
                <w:color w:val="auto"/>
                <w:szCs w:val="24"/>
              </w:rPr>
            </w:pPr>
            <w:r>
              <w:rPr>
                <w:rFonts w:ascii="Times New Roman" w:hAnsi="Times New Roman" w:cs="Times New Roman"/>
                <w:color w:val="auto"/>
                <w:szCs w:val="24"/>
              </w:rPr>
              <w:t>三、主要任务</w:t>
            </w:r>
          </w:p>
          <w:p>
            <w:pPr>
              <w:pStyle w:val="58"/>
              <w:ind w:firstLine="482"/>
              <w:jc w:val="both"/>
              <w:rPr>
                <w:rFonts w:ascii="Times New Roman" w:hAnsi="Times New Roman" w:cs="Times New Roman"/>
                <w:color w:val="auto"/>
                <w:szCs w:val="24"/>
                <w:lang w:val="en-US"/>
              </w:rPr>
            </w:pPr>
            <w:r>
              <w:rPr>
                <w:rFonts w:hint="eastAsia" w:ascii="Times New Roman" w:hAnsi="Times New Roman" w:cs="Times New Roman"/>
                <w:b/>
                <w:bCs/>
                <w:color w:val="auto"/>
                <w:szCs w:val="24"/>
                <w:lang w:val="en-US"/>
              </w:rPr>
              <w:t>2.</w:t>
            </w:r>
            <w:r>
              <w:rPr>
                <w:rFonts w:ascii="Times New Roman" w:hAnsi="Times New Roman" w:cs="Times New Roman"/>
                <w:b/>
                <w:bCs/>
                <w:color w:val="auto"/>
                <w:szCs w:val="24"/>
                <w:lang w:val="en-US"/>
              </w:rPr>
              <w:t>严格环境准入</w:t>
            </w:r>
            <w:r>
              <w:rPr>
                <w:rFonts w:hint="eastAsia" w:ascii="Times New Roman" w:hAnsi="Times New Roman" w:cs="Times New Roman"/>
                <w:b/>
                <w:bCs/>
                <w:color w:val="auto"/>
                <w:szCs w:val="24"/>
                <w:lang w:val="en-US"/>
              </w:rPr>
              <w:t>。落实“三线一单”</w:t>
            </w:r>
            <w:r>
              <w:rPr>
                <w:rFonts w:hint="eastAsia" w:ascii="Times New Roman" w:hAnsi="Times New Roman" w:cs="Times New Roman"/>
                <w:color w:val="auto"/>
                <w:szCs w:val="24"/>
                <w:lang w:val="en-US"/>
              </w:rPr>
              <w:t>（生态保护红线、环境质量底线、资源利用上线和生态环境准入清单）生态环境分区管控要求，从严从紧从实控制高耗能、高排放项目建设，全市原则上禁止新建、扩建单纯新增产能的钢铁、电解铝、水泥、平板玻璃、传统煤化工（甲醇、合成氨）、焦化、铸造、铝用炭素、耐火材料制品、砖瓦窑、铅锌冶炼（含再生铅）等高耗能、高排放和产能过剩的产业项目，严格项目备案审查，强化项目现场核查，保持违规新增产能项目露头就打的高压态势。完善生态环境准入清单，强化项目环评及“三同时”管理，国家、省绩效分级重点行业的新建、改建、扩建项目达到B级以上要求。</w:t>
            </w:r>
          </w:p>
          <w:p>
            <w:pPr>
              <w:pStyle w:val="58"/>
              <w:ind w:firstLine="482"/>
              <w:jc w:val="both"/>
              <w:rPr>
                <w:rFonts w:ascii="Times New Roman" w:hAnsi="Times New Roman" w:cs="Times New Roman"/>
                <w:color w:val="auto"/>
                <w:szCs w:val="24"/>
                <w:lang w:val="en-US"/>
              </w:rPr>
            </w:pPr>
            <w:r>
              <w:rPr>
                <w:rFonts w:hint="eastAsia" w:ascii="Times New Roman" w:hAnsi="Times New Roman" w:cs="Times New Roman"/>
                <w:b/>
                <w:bCs/>
                <w:color w:val="auto"/>
                <w:szCs w:val="24"/>
                <w:lang w:val="en-US"/>
              </w:rPr>
              <w:t>22.推进重点行业绩效分级管理。</w:t>
            </w:r>
            <w:r>
              <w:rPr>
                <w:rFonts w:hint="eastAsia" w:ascii="Times New Roman" w:hAnsi="Times New Roman" w:cs="Times New Roman"/>
                <w:color w:val="auto"/>
                <w:szCs w:val="24"/>
                <w:lang w:val="en-US"/>
              </w:rPr>
              <w:t>规范和加强重点行业企业绩效分级管理工作，坚持绩效评级与当地环境质量达标挂钩，培育推动企业“梯度达标”，促进行业治理能力治理水平整体升级。2021年年底前，重点行业绩效分级A、B级企业力争不低于30%，全市范围内基本消除D级企业；2025年年底前，重点行业绩效分级A、B级企业力争达到80%。落实A、B级企业相关鼓励政策， 发挥先进示范引领作用；严格执行C、D级企业污染管控措施，促进全市工业污染治理水平全面提升。</w:t>
            </w:r>
          </w:p>
          <w:p>
            <w:pPr>
              <w:pStyle w:val="58"/>
              <w:ind w:firstLine="482"/>
              <w:jc w:val="both"/>
              <w:rPr>
                <w:rFonts w:ascii="Times New Roman" w:hAnsi="Times New Roman" w:cs="Times New Roman"/>
                <w:color w:val="auto"/>
                <w:szCs w:val="24"/>
                <w:lang w:val="en-US"/>
              </w:rPr>
            </w:pPr>
            <w:r>
              <w:rPr>
                <w:rFonts w:hint="eastAsia" w:ascii="Times New Roman" w:hAnsi="Times New Roman" w:cs="Times New Roman"/>
                <w:b/>
                <w:bCs/>
                <w:color w:val="auto"/>
                <w:szCs w:val="24"/>
                <w:lang w:val="en-US"/>
              </w:rPr>
              <w:t>23.开展工业企业全面达标行动。</w:t>
            </w:r>
            <w:r>
              <w:rPr>
                <w:rFonts w:hint="eastAsia" w:ascii="Times New Roman" w:hAnsi="Times New Roman" w:cs="Times New Roman"/>
                <w:color w:val="auto"/>
                <w:szCs w:val="24"/>
                <w:lang w:val="en-US"/>
              </w:rPr>
              <w:t>贯彻落实《排污许可管理条例》，按照源头预防、过程控制、清洁生产、损害赔偿、责任 追究，实现固定污染源全过程管理。严格执行国家和我省大气污染物排放标准，持续推进电力、水泥、陶瓷、砖瓦窑、铸造、铁合金、有色金属冶炼及压延、化工、包装印刷行业和其他涉及工业涂装、工业窑炉、锅炉等行业废气污染物全面达标排放，将烟 气在线监测数据作为执法依据，加大超标处罚和联合惩戒力度，严厉打击各类大气环境违法行为。</w:t>
            </w:r>
          </w:p>
          <w:p>
            <w:pPr>
              <w:pStyle w:val="58"/>
              <w:ind w:firstLine="482"/>
              <w:jc w:val="both"/>
              <w:rPr>
                <w:rFonts w:ascii="Times New Roman" w:hAnsi="Times New Roman" w:cs="Times New Roman"/>
                <w:color w:val="auto"/>
                <w:szCs w:val="24"/>
                <w:lang w:val="en-US"/>
              </w:rPr>
            </w:pPr>
            <w:r>
              <w:rPr>
                <w:rFonts w:hint="eastAsia" w:ascii="Times New Roman" w:hAnsi="Times New Roman" w:cs="Times New Roman"/>
                <w:b/>
                <w:bCs/>
                <w:color w:val="auto"/>
                <w:szCs w:val="24"/>
                <w:lang w:val="en-US"/>
              </w:rPr>
              <w:t>2</w:t>
            </w:r>
            <w:r>
              <w:rPr>
                <w:rFonts w:ascii="Times New Roman" w:hAnsi="Times New Roman" w:cs="Times New Roman"/>
                <w:b/>
                <w:bCs/>
                <w:color w:val="auto"/>
                <w:szCs w:val="24"/>
                <w:lang w:val="en-US"/>
              </w:rPr>
              <w:t>5</w:t>
            </w:r>
            <w:r>
              <w:rPr>
                <w:rFonts w:hint="eastAsia" w:ascii="Times New Roman" w:hAnsi="Times New Roman" w:cs="Times New Roman"/>
                <w:b/>
                <w:bCs/>
                <w:color w:val="auto"/>
                <w:szCs w:val="24"/>
                <w:lang w:val="en-US"/>
              </w:rPr>
              <w:t>.深化工业炉窑大气污染综合治理。</w:t>
            </w:r>
            <w:r>
              <w:rPr>
                <w:color w:val="auto"/>
              </w:rPr>
              <w:t>按照</w:t>
            </w:r>
            <w:r>
              <w:t xml:space="preserve">“淘汰一批、替代一批、治理一批”的原则，深入推进工业窑炉大气污染综合治 理，加快实施煤改电、煤改气工程，全面提升铸造、铁合金、砖瓦窑、有色金属冶炼及压延等工业窑炉的治污设施处理能力，加强无组织排放管控，对涉及生产过程中的煤炭、矿石等物料运输，装卸储存，厂内转移与输送，物料加工与处理等各生产环节实施无组织排放精准治理，实现全封闭贮存及运输。陶瓷、有色金属冶炼及压延行业力争 60%以上企业，砖瓦、铁合金、铸造行业力争50%以上企业，能源类型、污染治理技术、排放限值和无组织排放四项指标达到绩效分级 B 级以上标准。其他行业工业炉窑，在稳定达标排放基础上，对标绩效分级 A、B </w:t>
            </w:r>
            <w:r>
              <w:rPr>
                <w:color w:val="auto"/>
              </w:rPr>
              <w:t>级及绩效引领企业 标准，提升环境绩效水平。</w:t>
            </w:r>
            <w:r>
              <w:rPr>
                <w:rFonts w:ascii="Times New Roman" w:hAnsi="Times New Roman" w:cs="Times New Roman"/>
                <w:color w:val="auto"/>
                <w:szCs w:val="24"/>
                <w:lang w:val="en-US"/>
              </w:rPr>
              <w:t>2月PM</w:t>
            </w:r>
            <w:r>
              <w:rPr>
                <w:rFonts w:ascii="Times New Roman" w:hAnsi="Times New Roman" w:cs="Times New Roman"/>
                <w:color w:val="auto"/>
                <w:szCs w:val="24"/>
                <w:vertAlign w:val="subscript"/>
                <w:lang w:val="en-US"/>
              </w:rPr>
              <w:t>2.5</w:t>
            </w:r>
            <w:r>
              <w:rPr>
                <w:rFonts w:ascii="Times New Roman" w:hAnsi="Times New Roman" w:cs="Times New Roman"/>
                <w:color w:val="auto"/>
                <w:szCs w:val="24"/>
                <w:lang w:val="en-US"/>
              </w:rPr>
              <w:t>平均浓度控制在59微克/立方米以下。</w:t>
            </w:r>
          </w:p>
          <w:p>
            <w:pPr>
              <w:pStyle w:val="58"/>
              <w:jc w:val="both"/>
              <w:rPr>
                <w:rFonts w:ascii="Times New Roman" w:hAnsi="Times New Roman" w:cs="Times New Roman"/>
                <w:color w:val="auto"/>
                <w:szCs w:val="24"/>
              </w:rPr>
            </w:pPr>
            <w:r>
              <w:rPr>
                <w:rFonts w:ascii="Times New Roman" w:hAnsi="Times New Roman" w:cs="Times New Roman"/>
                <w:color w:val="auto"/>
                <w:szCs w:val="24"/>
                <w:lang w:val="en-US"/>
              </w:rPr>
              <w:t xml:space="preserve"> </w:t>
            </w:r>
            <w:r>
              <w:rPr>
                <w:rFonts w:ascii="Times New Roman" w:hAnsi="Times New Roman" w:cs="Times New Roman"/>
                <w:color w:val="auto"/>
                <w:szCs w:val="24"/>
              </w:rPr>
              <w:t>……</w:t>
            </w:r>
          </w:p>
          <w:p>
            <w:pPr>
              <w:spacing w:line="360" w:lineRule="auto"/>
              <w:ind w:firstLine="480" w:firstLineChars="200"/>
              <w:rPr>
                <w:bCs/>
                <w:sz w:val="24"/>
              </w:rPr>
            </w:pPr>
            <w:r>
              <w:rPr>
                <w:bCs/>
                <w:sz w:val="24"/>
              </w:rPr>
              <w:t>本项目属于</w:t>
            </w:r>
            <w:r>
              <w:rPr>
                <w:rFonts w:hint="eastAsia"/>
                <w:sz w:val="24"/>
              </w:rPr>
              <w:t>金属废料和碎屑加工处理业</w:t>
            </w:r>
            <w:r>
              <w:rPr>
                <w:bCs/>
                <w:sz w:val="24"/>
              </w:rPr>
              <w:t>。</w:t>
            </w:r>
            <w:r>
              <w:rPr>
                <w:rFonts w:hint="eastAsia"/>
                <w:bCs/>
                <w:sz w:val="24"/>
              </w:rPr>
              <w:t>不涉及使用工业窑炉</w:t>
            </w:r>
            <w:r>
              <w:rPr>
                <w:bCs/>
                <w:sz w:val="24"/>
              </w:rPr>
              <w:t>，废气经旋风</w:t>
            </w:r>
            <w:r>
              <w:rPr>
                <w:rFonts w:hint="eastAsia"/>
                <w:bCs/>
                <w:sz w:val="24"/>
              </w:rPr>
              <w:t>布袋</w:t>
            </w:r>
            <w:r>
              <w:rPr>
                <w:bCs/>
                <w:sz w:val="24"/>
              </w:rPr>
              <w:t>除尘器</w:t>
            </w:r>
            <w:r>
              <w:rPr>
                <w:rFonts w:hint="eastAsia"/>
                <w:bCs/>
                <w:sz w:val="24"/>
              </w:rPr>
              <w:t>处理后能够达标排放。</w:t>
            </w:r>
          </w:p>
          <w:p>
            <w:pPr>
              <w:autoSpaceDE w:val="0"/>
              <w:autoSpaceDN w:val="0"/>
              <w:adjustRightInd w:val="0"/>
              <w:snapToGrid w:val="0"/>
              <w:spacing w:line="360" w:lineRule="auto"/>
              <w:rPr>
                <w:b/>
                <w:bCs/>
                <w:sz w:val="24"/>
              </w:rPr>
            </w:pPr>
          </w:p>
          <w:p>
            <w:pPr>
              <w:autoSpaceDE w:val="0"/>
              <w:autoSpaceDN w:val="0"/>
              <w:adjustRightInd w:val="0"/>
              <w:snapToGrid w:val="0"/>
              <w:spacing w:line="360" w:lineRule="auto"/>
              <w:rPr>
                <w:b/>
                <w:bCs/>
                <w:sz w:val="24"/>
              </w:rPr>
            </w:pPr>
            <w:r>
              <w:rPr>
                <w:rFonts w:hint="eastAsia"/>
                <w:b/>
                <w:bCs/>
                <w:sz w:val="24"/>
                <w:lang w:val="en-US" w:eastAsia="zh-CN"/>
              </w:rPr>
              <w:t>4</w:t>
            </w:r>
            <w:r>
              <w:rPr>
                <w:rFonts w:hint="eastAsia"/>
                <w:b/>
                <w:bCs/>
                <w:sz w:val="24"/>
              </w:rPr>
              <w:t>.与行业准入条件符合性分析</w:t>
            </w:r>
          </w:p>
          <w:p>
            <w:pPr>
              <w:autoSpaceDE w:val="0"/>
              <w:autoSpaceDN w:val="0"/>
              <w:adjustRightInd w:val="0"/>
              <w:snapToGrid w:val="0"/>
              <w:spacing w:line="360" w:lineRule="auto"/>
              <w:ind w:left="435"/>
              <w:rPr>
                <w:kern w:val="0"/>
                <w:sz w:val="24"/>
                <w:szCs w:val="20"/>
              </w:rPr>
            </w:pPr>
            <w:r>
              <w:rPr>
                <w:rFonts w:hint="eastAsia"/>
                <w:kern w:val="0"/>
                <w:sz w:val="24"/>
                <w:szCs w:val="20"/>
              </w:rPr>
              <w:t>①与《废钢铁加工行业准入条件》（2016年修订版）符合性分析</w:t>
            </w:r>
          </w:p>
          <w:p>
            <w:pPr>
              <w:autoSpaceDE w:val="0"/>
              <w:autoSpaceDN w:val="0"/>
              <w:adjustRightInd w:val="0"/>
              <w:snapToGrid w:val="0"/>
              <w:spacing w:line="360" w:lineRule="auto"/>
              <w:ind w:firstLine="480" w:firstLineChars="200"/>
              <w:rPr>
                <w:kern w:val="0"/>
                <w:sz w:val="24"/>
                <w:szCs w:val="20"/>
              </w:rPr>
            </w:pPr>
            <w:r>
              <w:rPr>
                <w:rFonts w:hint="eastAsia"/>
                <w:kern w:val="0"/>
                <w:sz w:val="24"/>
                <w:szCs w:val="20"/>
              </w:rPr>
              <w:t>根据工业和信息化部政府信息公开申请答复告知书（工信公开（2018）37号），《废钢铁加工行业准入公告管理暂行办法》第二条规定，企业根据自愿原则申请废钢铁加工行业准入公告。《废钢铁加工行业准入条件》不属于强制要求，新建企业不需要强制执行，本项目属新建企业，自愿不加入申请废钢铁加工行业准入公告。因此，不需要执行《废钢铁加工行业准入条件》。</w:t>
            </w:r>
          </w:p>
          <w:p>
            <w:pPr>
              <w:autoSpaceDE w:val="0"/>
              <w:autoSpaceDN w:val="0"/>
              <w:adjustRightInd w:val="0"/>
              <w:snapToGrid w:val="0"/>
              <w:spacing w:line="360" w:lineRule="auto"/>
              <w:rPr>
                <w:kern w:val="0"/>
                <w:sz w:val="24"/>
                <w:szCs w:val="20"/>
              </w:rPr>
            </w:pPr>
            <w:r>
              <w:rPr>
                <w:rFonts w:hint="eastAsia"/>
                <w:kern w:val="0"/>
                <w:sz w:val="24"/>
                <w:szCs w:val="20"/>
              </w:rPr>
              <w:t xml:space="preserve">   ②与《废钢铁产业“十三五”发展规划》相符性分析</w:t>
            </w:r>
          </w:p>
          <w:p>
            <w:pPr>
              <w:autoSpaceDE w:val="0"/>
              <w:autoSpaceDN w:val="0"/>
              <w:adjustRightInd w:val="0"/>
              <w:snapToGrid w:val="0"/>
              <w:jc w:val="center"/>
              <w:rPr>
                <w:rFonts w:ascii="黑体" w:hAnsi="黑体" w:eastAsia="黑体" w:cs="黑体"/>
                <w:kern w:val="0"/>
                <w:sz w:val="24"/>
              </w:rPr>
            </w:pPr>
            <w:r>
              <w:rPr>
                <w:rFonts w:hint="eastAsia"/>
                <w:b/>
                <w:bCs/>
                <w:sz w:val="24"/>
                <w:lang w:val="zh-CN"/>
              </w:rPr>
              <w:t>表1-2与《废钢铁产业“十三五”发展规划》相符性分析</w:t>
            </w:r>
          </w:p>
          <w:tbl>
            <w:tblPr>
              <w:tblStyle w:val="20"/>
              <w:tblpPr w:leftFromText="180" w:rightFromText="180" w:vertAnchor="text" w:horzAnchor="page" w:tblpX="97" w:tblpY="2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4104"/>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autoSpaceDE w:val="0"/>
                    <w:autoSpaceDN w:val="0"/>
                    <w:adjustRightInd w:val="0"/>
                    <w:snapToGrid w:val="0"/>
                    <w:jc w:val="center"/>
                    <w:rPr>
                      <w:kern w:val="0"/>
                      <w:sz w:val="24"/>
                      <w:szCs w:val="20"/>
                    </w:rPr>
                  </w:pPr>
                  <w:r>
                    <w:rPr>
                      <w:rFonts w:hint="eastAsia"/>
                      <w:kern w:val="0"/>
                      <w:sz w:val="24"/>
                      <w:szCs w:val="20"/>
                    </w:rPr>
                    <w:t>/</w:t>
                  </w:r>
                </w:p>
              </w:tc>
              <w:tc>
                <w:tcPr>
                  <w:tcW w:w="4996" w:type="dxa"/>
                  <w:vAlign w:val="center"/>
                </w:tcPr>
                <w:p>
                  <w:pPr>
                    <w:autoSpaceDE w:val="0"/>
                    <w:autoSpaceDN w:val="0"/>
                    <w:adjustRightInd w:val="0"/>
                    <w:snapToGrid w:val="0"/>
                    <w:jc w:val="center"/>
                    <w:rPr>
                      <w:kern w:val="0"/>
                      <w:sz w:val="24"/>
                      <w:szCs w:val="20"/>
                    </w:rPr>
                  </w:pPr>
                  <w:r>
                    <w:rPr>
                      <w:rFonts w:hint="eastAsia"/>
                      <w:kern w:val="0"/>
                      <w:sz w:val="24"/>
                      <w:szCs w:val="20"/>
                    </w:rPr>
                    <w:t>发展规划主要内容</w:t>
                  </w:r>
                </w:p>
              </w:tc>
              <w:tc>
                <w:tcPr>
                  <w:tcW w:w="2907" w:type="dxa"/>
                  <w:vAlign w:val="center"/>
                </w:tcPr>
                <w:p>
                  <w:pPr>
                    <w:autoSpaceDE w:val="0"/>
                    <w:autoSpaceDN w:val="0"/>
                    <w:adjustRightInd w:val="0"/>
                    <w:snapToGrid w:val="0"/>
                    <w:jc w:val="center"/>
                    <w:rPr>
                      <w:kern w:val="0"/>
                      <w:sz w:val="24"/>
                      <w:szCs w:val="20"/>
                    </w:rPr>
                  </w:pPr>
                  <w:r>
                    <w:rPr>
                      <w:rFonts w:hint="eastAsia"/>
                      <w:kern w:val="0"/>
                      <w:sz w:val="24"/>
                      <w:szCs w:val="20"/>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restart"/>
                  <w:vAlign w:val="center"/>
                </w:tcPr>
                <w:p>
                  <w:pPr>
                    <w:autoSpaceDE w:val="0"/>
                    <w:autoSpaceDN w:val="0"/>
                    <w:adjustRightInd w:val="0"/>
                    <w:snapToGrid w:val="0"/>
                    <w:jc w:val="center"/>
                    <w:rPr>
                      <w:kern w:val="0"/>
                      <w:sz w:val="24"/>
                      <w:szCs w:val="20"/>
                    </w:rPr>
                  </w:pPr>
                  <w:r>
                    <w:rPr>
                      <w:rFonts w:hint="eastAsia"/>
                      <w:kern w:val="0"/>
                      <w:sz w:val="24"/>
                      <w:szCs w:val="20"/>
                    </w:rPr>
                    <w:t>指导思想和基本原则</w:t>
                  </w: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1、坚持以市场为导向，加快废铁产业管理体系建设，促进废钢铁在回收、拆解、加工、配送一体化。建立和完善各项法规，开展企业信用建设，树立依法经营，诚实守信理念。建立和完善废钢铁标准体系，满足行业发展的需求。通过电子信息平台等方式，加强废钢铁加工企业的日常管理，协助政府机关部门做好监管工作，创建良好的市场秩序。</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本项目遵循回收废钢铁在回收、破碎、配送一体化，加强废钢铁加工企业的日常管理，协助政府相关部门做好监管工作，创建良好的市场秩序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autoSpaceDE w:val="0"/>
                    <w:autoSpaceDN w:val="0"/>
                    <w:adjustRightInd w:val="0"/>
                    <w:snapToGrid w:val="0"/>
                    <w:jc w:val="center"/>
                    <w:rPr>
                      <w:kern w:val="0"/>
                      <w:sz w:val="24"/>
                      <w:szCs w:val="20"/>
                    </w:rPr>
                  </w:pPr>
                </w:p>
              </w:tc>
              <w:tc>
                <w:tcPr>
                  <w:tcW w:w="4996" w:type="dxa"/>
                  <w:vAlign w:val="center"/>
                </w:tcPr>
                <w:p>
                  <w:pPr>
                    <w:autoSpaceDE w:val="0"/>
                    <w:autoSpaceDN w:val="0"/>
                    <w:adjustRightInd w:val="0"/>
                    <w:snapToGrid w:val="0"/>
                    <w:jc w:val="center"/>
                    <w:rPr>
                      <w:kern w:val="0"/>
                      <w:szCs w:val="21"/>
                      <w:shd w:val="clear" w:color="auto" w:fill="FFFFFF"/>
                    </w:rPr>
                  </w:pPr>
                  <w:r>
                    <w:rPr>
                      <w:kern w:val="0"/>
                      <w:szCs w:val="21"/>
                      <w:shd w:val="clear" w:color="auto" w:fill="FFFFFF"/>
                    </w:rPr>
                    <w:t>2、坚持突出重点，继续推进钢铁渣的高效处理深度综合利用，最终实现“零排放”。“十三五”钢铁渣的开发利用要有新突破，特别是钢渣的开发利用要明显提高。要加快关键技术的研发和推广，逐一解决影响钢渣开发利用的瓶颈问题。加快国外先进渣粉研磨设备的引进消化，尽快实现国产化，降低设备制造成本。要大力宣传推广钢铁渣资源化产品，节省原生资源，减少环境污染。</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本项目破碎粉尘经布袋除尘器处理后对粉尘收集，固废采取了合理妥善的治理措施，不使用高耗能淘汰性设备，项目在运行期各污染物可实现达标排放，减少环境污染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restart"/>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“十三五”规划目标</w:t>
                  </w: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1、研发制造完全国产化的汽车拆解生产线，要达到世界先进水平，满足今后汽车报废高潮期的需求，增加废钢铁资源数量；</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本项目遵循回收废钢铁破碎、配送一体化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autoSpaceDE w:val="0"/>
                    <w:autoSpaceDN w:val="0"/>
                    <w:adjustRightInd w:val="0"/>
                    <w:snapToGrid w:val="0"/>
                    <w:jc w:val="center"/>
                    <w:rPr>
                      <w:kern w:val="0"/>
                      <w:szCs w:val="21"/>
                      <w:shd w:val="clear" w:color="auto" w:fill="FFFFFF"/>
                    </w:rPr>
                  </w:pP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2、引进、研发高效现代废钢加工设备。如移动式液压剪，可提高效率，替代火焰切割，改善劳动环境，国外先进国家已普遍采用；</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本项目采用先进的破碎设备，不使用高耗能淘汰性设备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autoSpaceDE w:val="0"/>
                    <w:autoSpaceDN w:val="0"/>
                    <w:adjustRightInd w:val="0"/>
                    <w:snapToGrid w:val="0"/>
                    <w:jc w:val="center"/>
                    <w:rPr>
                      <w:kern w:val="0"/>
                      <w:szCs w:val="21"/>
                      <w:shd w:val="clear" w:color="auto" w:fill="FFFFFF"/>
                    </w:rPr>
                  </w:pP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3、重点专项研发特种特种废钢处理设备，实现废线材，实现废线材、超厚废钢、中间包、大块渣铁等的机械处理，减少火焰切割的处理量，降低环境污染的影响；</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本项目使用物理加工废旧钢铁，不涉及火焰切割，破碎、磁选粉尘经布袋除尘器处理后经15m高排气筒排放，降低环境污染的影响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autoSpaceDE w:val="0"/>
                    <w:autoSpaceDN w:val="0"/>
                    <w:adjustRightInd w:val="0"/>
                    <w:snapToGrid w:val="0"/>
                    <w:jc w:val="center"/>
                    <w:rPr>
                      <w:kern w:val="0"/>
                      <w:szCs w:val="21"/>
                      <w:shd w:val="clear" w:color="auto" w:fill="FFFFFF"/>
                    </w:rPr>
                  </w:pP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4、组织科研院所、相关企业全力攻克钢铁渣磨粉设备的研发制造，通过引进消化国外技术，生产出技术先进的国产设备，为尾渣的深加工利用提供精良的装备；</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本项目使用物理加工废旧钢铁，不涉及火焰切割，破碎、磁选粉尘经布袋除尘器处理后经15m高排气筒排放，降低环境污染的影响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autoSpaceDE w:val="0"/>
                    <w:autoSpaceDN w:val="0"/>
                    <w:adjustRightInd w:val="0"/>
                    <w:snapToGrid w:val="0"/>
                    <w:jc w:val="center"/>
                    <w:rPr>
                      <w:kern w:val="0"/>
                      <w:szCs w:val="21"/>
                      <w:shd w:val="clear" w:color="auto" w:fill="FFFFFF"/>
                    </w:rPr>
                  </w:pP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5、完善钢渣破碎磁选生产线的总体功能，提高产能水平，实现含铁量＜1％的目标，推进钢渣开发利用的进程；</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本项目使用破碎、磁选加工废旧钢铁，积极推进钢渣开发利用的进程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autoSpaceDE w:val="0"/>
                    <w:autoSpaceDN w:val="0"/>
                    <w:adjustRightInd w:val="0"/>
                    <w:snapToGrid w:val="0"/>
                    <w:jc w:val="center"/>
                    <w:rPr>
                      <w:kern w:val="0"/>
                      <w:szCs w:val="21"/>
                      <w:shd w:val="clear" w:color="auto" w:fill="FFFFFF"/>
                    </w:rPr>
                  </w:pPr>
                </w:p>
              </w:tc>
              <w:tc>
                <w:tcPr>
                  <w:tcW w:w="4996"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6、加大设备技术研发和技术创新的投入，提高设备技术水平。在实施“一带一路”战略进程中，增加设备的出口量，推进企业持续健康发展。</w:t>
                  </w:r>
                </w:p>
              </w:tc>
              <w:tc>
                <w:tcPr>
                  <w:tcW w:w="2907" w:type="dxa"/>
                  <w:vAlign w:val="center"/>
                </w:tcPr>
                <w:p>
                  <w:pPr>
                    <w:autoSpaceDE w:val="0"/>
                    <w:autoSpaceDN w:val="0"/>
                    <w:adjustRightInd w:val="0"/>
                    <w:snapToGrid w:val="0"/>
                    <w:jc w:val="center"/>
                    <w:rPr>
                      <w:kern w:val="0"/>
                      <w:szCs w:val="21"/>
                      <w:shd w:val="clear" w:color="auto" w:fill="FFFFFF"/>
                    </w:rPr>
                  </w:pPr>
                  <w:r>
                    <w:rPr>
                      <w:rFonts w:hint="eastAsia"/>
                      <w:kern w:val="0"/>
                      <w:szCs w:val="21"/>
                      <w:shd w:val="clear" w:color="auto" w:fill="FFFFFF"/>
                    </w:rPr>
                    <w:t>本项目采用先进的破碎设备，不使用高耗能淘汰性设备</w:t>
                  </w:r>
                </w:p>
              </w:tc>
            </w:tr>
          </w:tbl>
          <w:p>
            <w:pPr>
              <w:autoSpaceDE w:val="0"/>
              <w:autoSpaceDN w:val="0"/>
              <w:adjustRightInd w:val="0"/>
              <w:snapToGrid w:val="0"/>
              <w:spacing w:line="360" w:lineRule="auto"/>
              <w:rPr>
                <w:kern w:val="0"/>
                <w:szCs w:val="21"/>
              </w:rPr>
            </w:pPr>
            <w:r>
              <w:rPr>
                <w:rFonts w:hint="eastAsia"/>
                <w:kern w:val="0"/>
                <w:sz w:val="24"/>
                <w:szCs w:val="20"/>
              </w:rPr>
              <w:t xml:space="preserve">    由上表可知，本项目的建设与《废钢铁产业“十三五”发展规划》的基本相符</w:t>
            </w:r>
          </w:p>
        </w:tc>
      </w:tr>
    </w:tbl>
    <w:p>
      <w:pPr>
        <w:spacing w:line="360" w:lineRule="auto"/>
        <w:outlineLvl w:val="0"/>
        <w:rPr>
          <w:rFonts w:eastAsia="黑体"/>
          <w:sz w:val="30"/>
        </w:rPr>
        <w:sectPr>
          <w:footerReference r:id="rId4" w:type="default"/>
          <w:pgSz w:w="11906" w:h="16838"/>
          <w:pgMar w:top="1701" w:right="1531" w:bottom="1701" w:left="1531" w:header="851" w:footer="1077" w:gutter="0"/>
          <w:pgNumType w:start="1"/>
          <w:cols w:space="720" w:num="1"/>
          <w:docGrid w:linePitch="312" w:charSpace="0"/>
        </w:sectPr>
      </w:pPr>
    </w:p>
    <w:p>
      <w:pPr>
        <w:pStyle w:val="16"/>
        <w:jc w:val="center"/>
        <w:outlineLvl w:val="0"/>
      </w:pPr>
      <w:r>
        <w:rPr>
          <w:rFonts w:hint="eastAsia" w:ascii="黑体" w:hAnsi="黑体" w:eastAsia="黑体"/>
          <w:snapToGrid w:val="0"/>
          <w:sz w:val="30"/>
          <w:szCs w:val="30"/>
        </w:rPr>
        <w:t>二、建设项目工程分析</w:t>
      </w:r>
    </w:p>
    <w:tbl>
      <w:tblPr>
        <w:tblStyle w:val="19"/>
        <w:tblW w:w="92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87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90" w:hRule="atLeast"/>
          <w:jc w:val="center"/>
        </w:trPr>
        <w:tc>
          <w:tcPr>
            <w:tcW w:w="431" w:type="dxa"/>
            <w:vAlign w:val="center"/>
          </w:tcPr>
          <w:p>
            <w:pPr>
              <w:pStyle w:val="16"/>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8788" w:type="dxa"/>
          </w:tcPr>
          <w:p>
            <w:pPr>
              <w:pStyle w:val="8"/>
              <w:spacing w:line="520" w:lineRule="exact"/>
              <w:rPr>
                <w:rFonts w:ascii="Times New Roman" w:hAnsi="Times New Roman"/>
                <w:b/>
                <w:color w:val="000000"/>
                <w:sz w:val="24"/>
                <w:szCs w:val="24"/>
              </w:rPr>
            </w:pPr>
            <w:r>
              <w:rPr>
                <w:rFonts w:hint="eastAsia" w:ascii="Times New Roman" w:hAnsi="Times New Roman"/>
                <w:b/>
                <w:color w:val="000000"/>
                <w:sz w:val="24"/>
                <w:szCs w:val="24"/>
              </w:rPr>
              <w:t>1</w:t>
            </w:r>
            <w:r>
              <w:rPr>
                <w:rFonts w:ascii="Times New Roman" w:hAnsi="Times New Roman"/>
                <w:b/>
                <w:color w:val="000000"/>
                <w:sz w:val="24"/>
                <w:szCs w:val="24"/>
              </w:rPr>
              <w:t>、</w:t>
            </w:r>
            <w:r>
              <w:rPr>
                <w:rFonts w:ascii="Times New Roman" w:hAnsi="Times New Roman"/>
                <w:b/>
                <w:color w:val="000000"/>
                <w:sz w:val="24"/>
                <w:szCs w:val="24"/>
                <w:lang w:val="zh-CN"/>
              </w:rPr>
              <w:t>项目组成及主要建设内容</w:t>
            </w:r>
          </w:p>
          <w:p>
            <w:pPr>
              <w:spacing w:line="360" w:lineRule="auto"/>
              <w:ind w:firstLine="480" w:firstLineChars="200"/>
              <w:rPr>
                <w:sz w:val="24"/>
              </w:rPr>
            </w:pPr>
            <w:r>
              <w:rPr>
                <w:rFonts w:hint="eastAsia"/>
                <w:color w:val="000000"/>
                <w:sz w:val="24"/>
                <w:lang w:val="zh-CN"/>
              </w:rPr>
              <w:t>本项目</w:t>
            </w:r>
            <w:r>
              <w:rPr>
                <w:rFonts w:hint="eastAsia"/>
                <w:color w:val="000000"/>
                <w:sz w:val="24"/>
              </w:rPr>
              <w:t>位于河南省漯河市郾城区纬十路漯河市中联再生资源有限公司院内，项目占地面积1200㎡。建设生车间一座（1层）、原料暂存区（厂房内）、成品区（厂房内）、办公室50㎡及配套的生产设备，项目建成后年处理5000吨废旧钢铁。</w:t>
            </w:r>
            <w:r>
              <w:rPr>
                <w:sz w:val="24"/>
              </w:rPr>
              <w:t>具有良好的经济效益和社会效益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根据现场调查，本项目已于20</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年</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月开工建设，目前项目</w:t>
            </w:r>
            <w:r>
              <w:rPr>
                <w:rFonts w:hint="eastAsia"/>
                <w:color w:val="000000" w:themeColor="text1"/>
                <w:sz w:val="24"/>
                <w14:textFill>
                  <w14:solidFill>
                    <w14:schemeClr w14:val="tx1"/>
                  </w14:solidFill>
                </w14:textFill>
              </w:rPr>
              <w:t>厂</w:t>
            </w:r>
            <w:r>
              <w:rPr>
                <w:color w:val="000000" w:themeColor="text1"/>
                <w:sz w:val="24"/>
                <w14:textFill>
                  <w14:solidFill>
                    <w14:schemeClr w14:val="tx1"/>
                  </w14:solidFill>
                </w14:textFill>
              </w:rPr>
              <w:t>区设备已安装到位，属于未批先建项目，本次评价属于补办环评手续。</w:t>
            </w:r>
            <w:r>
              <w:rPr>
                <w:rFonts w:hint="eastAsia"/>
                <w:color w:val="000000" w:themeColor="text1"/>
                <w:sz w:val="24"/>
                <w14:textFill>
                  <w14:solidFill>
                    <w14:schemeClr w14:val="tx1"/>
                  </w14:solidFill>
                </w14:textFill>
              </w:rPr>
              <w:t>漯河市生态环境局郾城分局</w:t>
            </w:r>
            <w:r>
              <w:rPr>
                <w:color w:val="000000" w:themeColor="text1"/>
                <w:sz w:val="24"/>
                <w14:textFill>
                  <w14:solidFill>
                    <w14:schemeClr w14:val="tx1"/>
                  </w14:solidFill>
                </w14:textFill>
              </w:rPr>
              <w:t>对</w:t>
            </w:r>
            <w:r>
              <w:rPr>
                <w:rFonts w:hint="eastAsia"/>
                <w:color w:val="000000" w:themeColor="text1"/>
                <w:sz w:val="24"/>
                <w14:textFill>
                  <w14:solidFill>
                    <w14:schemeClr w14:val="tx1"/>
                  </w14:solidFill>
                </w14:textFill>
              </w:rPr>
              <w:t>漯河市腾盛废旧金属回收有限公司</w:t>
            </w:r>
            <w:r>
              <w:rPr>
                <w:color w:val="000000" w:themeColor="text1"/>
                <w:sz w:val="24"/>
                <w14:textFill>
                  <w14:solidFill>
                    <w14:schemeClr w14:val="tx1"/>
                  </w14:solidFill>
                </w14:textFill>
              </w:rPr>
              <w:t>出具了行政处罚决定书，建设单位已按照要求停止生产，并依照《中华人民共和国环境环境影响评价法》中第三十一条第一款要求接受行政处罚，行政处罚决定书见附件</w:t>
            </w:r>
            <w:r>
              <w:rPr>
                <w:rFonts w:hint="eastAsia"/>
                <w:color w:val="000000" w:themeColor="text1"/>
                <w:sz w:val="24"/>
                <w14:textFill>
                  <w14:solidFill>
                    <w14:schemeClr w14:val="tx1"/>
                  </w14:solidFill>
                </w14:textFill>
              </w:rPr>
              <w:t>六</w:t>
            </w:r>
            <w:r>
              <w:rPr>
                <w:color w:val="000000" w:themeColor="text1"/>
                <w:sz w:val="24"/>
                <w14:textFill>
                  <w14:solidFill>
                    <w14:schemeClr w14:val="tx1"/>
                  </w14:solidFill>
                </w14:textFill>
              </w:rPr>
              <w:t>、缴费单详见附件</w:t>
            </w:r>
            <w:r>
              <w:rPr>
                <w:rFonts w:hint="eastAsia"/>
                <w:color w:val="000000" w:themeColor="text1"/>
                <w:sz w:val="24"/>
                <w14:textFill>
                  <w14:solidFill>
                    <w14:schemeClr w14:val="tx1"/>
                  </w14:solidFill>
                </w14:textFill>
              </w:rPr>
              <w:t>七</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中华人民共和国环境保护法》、《中华人民共和国环境影响评价法》和中华人民共和国国务院令第682号《建设项目环境保护管理条例》等法律法规的要求，本项目需进行环境影响评价。依据《建设项目环境影响评价分类管理名录》（</w:t>
            </w:r>
            <w:r>
              <w:rPr>
                <w:rFonts w:hint="eastAsia"/>
                <w:color w:val="000000" w:themeColor="text1"/>
                <w:sz w:val="24"/>
                <w14:textFill>
                  <w14:solidFill>
                    <w14:schemeClr w14:val="tx1"/>
                  </w14:solidFill>
                </w14:textFill>
              </w:rPr>
              <w:t>2021年版</w:t>
            </w:r>
            <w:r>
              <w:rPr>
                <w:color w:val="000000" w:themeColor="text1"/>
                <w:sz w:val="24"/>
                <w14:textFill>
                  <w14:solidFill>
                    <w14:schemeClr w14:val="tx1"/>
                  </w14:solidFill>
                </w14:textFill>
              </w:rPr>
              <w:t>），本项目属于</w:t>
            </w:r>
            <w:r>
              <w:rPr>
                <w:rFonts w:hint="eastAsia"/>
                <w:color w:val="000000" w:themeColor="text1"/>
                <w:sz w:val="24"/>
                <w14:textFill>
                  <w14:solidFill>
                    <w14:schemeClr w14:val="tx1"/>
                  </w14:solidFill>
                </w14:textFill>
              </w:rPr>
              <w:t>“三十九</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废弃资源综合利用业42”</w:t>
            </w:r>
            <w:r>
              <w:rPr>
                <w:color w:val="000000" w:themeColor="text1"/>
                <w:sz w:val="24"/>
                <w14:textFill>
                  <w14:solidFill>
                    <w14:schemeClr w14:val="tx1"/>
                  </w14:solidFill>
                </w14:textFill>
              </w:rPr>
              <w:t>类第</w:t>
            </w:r>
            <w:r>
              <w:rPr>
                <w:rFonts w:hint="eastAsia"/>
                <w:color w:val="000000" w:themeColor="text1"/>
                <w:sz w:val="24"/>
                <w14:textFill>
                  <w14:solidFill>
                    <w14:schemeClr w14:val="tx1"/>
                  </w14:solidFill>
                </w14:textFill>
              </w:rPr>
              <w:t>85</w:t>
            </w:r>
            <w:r>
              <w:rPr>
                <w:color w:val="000000" w:themeColor="text1"/>
                <w:sz w:val="24"/>
                <w14:textFill>
                  <w14:solidFill>
                    <w14:schemeClr w14:val="tx1"/>
                  </w14:solidFill>
                </w14:textFill>
              </w:rPr>
              <w:t>条</w:t>
            </w:r>
            <w:r>
              <w:rPr>
                <w:rFonts w:hint="eastAsia"/>
                <w:color w:val="000000" w:themeColor="text1"/>
                <w:sz w:val="24"/>
                <w14:textFill>
                  <w14:solidFill>
                    <w14:schemeClr w14:val="tx1"/>
                  </w14:solidFill>
                </w14:textFill>
              </w:rPr>
              <w:t>“金属废料和碎屑加工处理421”</w:t>
            </w:r>
            <w:r>
              <w:rPr>
                <w:color w:val="000000" w:themeColor="text1"/>
                <w:sz w:val="24"/>
                <w14:textFill>
                  <w14:solidFill>
                    <w14:schemeClr w14:val="tx1"/>
                  </w14:solidFill>
                </w14:textFill>
              </w:rPr>
              <w:t>， 其中</w:t>
            </w:r>
            <w:r>
              <w:rPr>
                <w:rFonts w:hint="eastAsia"/>
                <w:color w:val="000000" w:themeColor="text1"/>
                <w:sz w:val="24"/>
                <w14:textFill>
                  <w14:solidFill>
                    <w14:schemeClr w14:val="tx1"/>
                  </w14:solidFill>
                </w14:textFill>
              </w:rPr>
              <w:t>废弃电器电子产品、废机动车、废电机、废电线电缆、废钢、废铁、金属和金属化合物矿灰及残渣、有色金属废料与碎屑、废塑料、废轮胎、废船、含水洗工艺的其他废料和碎屑加工处理</w:t>
            </w:r>
            <w:r>
              <w:rPr>
                <w:color w:val="000000" w:themeColor="text1"/>
                <w:sz w:val="24"/>
                <w14:textFill>
                  <w14:solidFill>
                    <w14:schemeClr w14:val="tx1"/>
                  </w14:solidFill>
                </w14:textFill>
              </w:rPr>
              <w:t>需编制报告表，本项目为</w:t>
            </w:r>
            <w:r>
              <w:rPr>
                <w:rFonts w:hint="eastAsia"/>
                <w:color w:val="000000" w:themeColor="text1"/>
                <w:sz w:val="24"/>
                <w14:textFill>
                  <w14:solidFill>
                    <w14:schemeClr w14:val="tx1"/>
                  </w14:solidFill>
                </w14:textFill>
              </w:rPr>
              <w:t>废钢、废铁加工</w:t>
            </w:r>
            <w:r>
              <w:rPr>
                <w:color w:val="000000" w:themeColor="text1"/>
                <w:sz w:val="24"/>
                <w14:textFill>
                  <w14:solidFill>
                    <w14:schemeClr w14:val="tx1"/>
                  </w14:solidFill>
                </w14:textFill>
              </w:rPr>
              <w:t>，需编制环境影响报告表，按照要求本项目应编制环境影响报告表。受建设单位委托（委托书见附件一），按照要求本项目应编制环境影响报告表我公司承担了该项目的环境影响评价工作。我公司在现场勘察、资料分析和专家咨询的基础上，遵照国家环境保护法规，贯彻执行达标排放、总量控制的原则，本着客观、公正科学、规范的要求，编制完成了《</w:t>
            </w:r>
            <w:r>
              <w:rPr>
                <w:rFonts w:hint="eastAsia"/>
                <w:color w:val="000000" w:themeColor="text1"/>
                <w:sz w:val="24"/>
                <w14:textFill>
                  <w14:solidFill>
                    <w14:schemeClr w14:val="tx1"/>
                  </w14:solidFill>
                </w14:textFill>
              </w:rPr>
              <w:t>漯河市腾盛废旧金属回收有限公司年处理5000吨废铁破碎项目</w:t>
            </w:r>
            <w:r>
              <w:rPr>
                <w:color w:val="000000" w:themeColor="text1"/>
                <w:sz w:val="24"/>
                <w14:textFill>
                  <w14:solidFill>
                    <w14:schemeClr w14:val="tx1"/>
                  </w14:solidFill>
                </w14:textFill>
              </w:rPr>
              <w:t>环境影响报告表》。</w:t>
            </w:r>
          </w:p>
          <w:p>
            <w:pPr>
              <w:spacing w:line="360" w:lineRule="auto"/>
              <w:ind w:firstLine="480" w:firstLineChars="200"/>
              <w:rPr>
                <w:color w:val="000000"/>
                <w:sz w:val="24"/>
              </w:rPr>
            </w:pPr>
          </w:p>
          <w:p>
            <w:pPr>
              <w:spacing w:line="360" w:lineRule="auto"/>
              <w:ind w:firstLine="480" w:firstLineChars="200"/>
              <w:rPr>
                <w:color w:val="000000"/>
                <w:sz w:val="24"/>
                <w:lang w:val="zh-CN"/>
              </w:rPr>
            </w:pPr>
            <w:r>
              <w:rPr>
                <w:rFonts w:hint="eastAsia"/>
                <w:color w:val="000000"/>
                <w:sz w:val="24"/>
              </w:rPr>
              <w:t>本项目由主体工程、储运工程、辅助工程、公用工程和环保工程组成，</w:t>
            </w:r>
            <w:r>
              <w:rPr>
                <w:rFonts w:hint="eastAsia"/>
                <w:color w:val="000000"/>
                <w:sz w:val="24"/>
                <w:lang w:val="zh-CN"/>
              </w:rPr>
              <w:t>内容见表2-1。</w:t>
            </w:r>
          </w:p>
          <w:p>
            <w:pPr>
              <w:spacing w:line="360" w:lineRule="auto"/>
              <w:jc w:val="center"/>
              <w:rPr>
                <w:rFonts w:eastAsia="黑体"/>
                <w:sz w:val="24"/>
              </w:rPr>
            </w:pPr>
            <w:r>
              <w:rPr>
                <w:rFonts w:hint="eastAsia" w:ascii="黑体" w:hAnsi="黑体" w:eastAsia="黑体" w:cs="黑体"/>
                <w:color w:val="000000"/>
                <w:sz w:val="24"/>
              </w:rPr>
              <w:t xml:space="preserve">表2-1   </w:t>
            </w:r>
            <w:r>
              <w:rPr>
                <w:rFonts w:ascii="黑体" w:hAnsi="黑体" w:eastAsia="黑体" w:cs="黑体"/>
                <w:color w:val="000000"/>
                <w:sz w:val="24"/>
              </w:rPr>
              <w:t>本项目组成及主要建设内容一览表</w:t>
            </w:r>
          </w:p>
          <w:tbl>
            <w:tblPr>
              <w:tblStyle w:val="1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11"/>
              <w:gridCol w:w="1155"/>
              <w:gridCol w:w="5196"/>
              <w:gridCol w:w="14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1" w:type="pct"/>
                  <w:gridSpan w:val="2"/>
                  <w:vAlign w:val="center"/>
                </w:tcPr>
                <w:p>
                  <w:pPr>
                    <w:spacing w:line="360" w:lineRule="exact"/>
                    <w:jc w:val="center"/>
                    <w:rPr>
                      <w:b/>
                      <w:bCs/>
                      <w:szCs w:val="21"/>
                    </w:rPr>
                  </w:pPr>
                  <w:r>
                    <w:rPr>
                      <w:b/>
                      <w:bCs/>
                      <w:szCs w:val="21"/>
                    </w:rPr>
                    <w:t>项目组成</w:t>
                  </w:r>
                </w:p>
              </w:tc>
              <w:tc>
                <w:tcPr>
                  <w:tcW w:w="3037" w:type="pct"/>
                  <w:vAlign w:val="center"/>
                </w:tcPr>
                <w:p>
                  <w:pPr>
                    <w:spacing w:line="360" w:lineRule="exact"/>
                    <w:jc w:val="center"/>
                    <w:rPr>
                      <w:b/>
                      <w:bCs/>
                      <w:szCs w:val="21"/>
                    </w:rPr>
                  </w:pPr>
                  <w:r>
                    <w:rPr>
                      <w:b/>
                      <w:bCs/>
                      <w:szCs w:val="21"/>
                    </w:rPr>
                    <w:t>工    程    内    容</w:t>
                  </w:r>
                </w:p>
              </w:tc>
              <w:tc>
                <w:tcPr>
                  <w:tcW w:w="871" w:type="pct"/>
                  <w:vAlign w:val="center"/>
                </w:tcPr>
                <w:p>
                  <w:pPr>
                    <w:spacing w:line="360" w:lineRule="exact"/>
                    <w:jc w:val="center"/>
                    <w:rPr>
                      <w:b/>
                      <w:bCs/>
                      <w:szCs w:val="21"/>
                    </w:rPr>
                  </w:pPr>
                  <w:r>
                    <w:rPr>
                      <w:b/>
                      <w:bCs/>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1" w:hRule="atLeast"/>
                <w:jc w:val="center"/>
              </w:trPr>
              <w:tc>
                <w:tcPr>
                  <w:tcW w:w="416" w:type="pct"/>
                  <w:vAlign w:val="center"/>
                </w:tcPr>
                <w:p>
                  <w:pPr>
                    <w:spacing w:line="360" w:lineRule="exact"/>
                    <w:jc w:val="center"/>
                    <w:rPr>
                      <w:bCs/>
                      <w:szCs w:val="21"/>
                    </w:rPr>
                  </w:pPr>
                  <w:r>
                    <w:rPr>
                      <w:bCs/>
                      <w:szCs w:val="21"/>
                    </w:rPr>
                    <w:t>主体工程</w:t>
                  </w:r>
                </w:p>
              </w:tc>
              <w:tc>
                <w:tcPr>
                  <w:tcW w:w="675" w:type="pct"/>
                  <w:vAlign w:val="center"/>
                </w:tcPr>
                <w:p>
                  <w:pPr>
                    <w:spacing w:line="360" w:lineRule="exact"/>
                    <w:jc w:val="center"/>
                    <w:rPr>
                      <w:szCs w:val="21"/>
                    </w:rPr>
                  </w:pPr>
                  <w:r>
                    <w:rPr>
                      <w:rFonts w:hint="eastAsia"/>
                      <w:szCs w:val="21"/>
                    </w:rPr>
                    <w:t>生产车间</w:t>
                  </w:r>
                </w:p>
              </w:tc>
              <w:tc>
                <w:tcPr>
                  <w:tcW w:w="3037" w:type="pct"/>
                  <w:vAlign w:val="center"/>
                </w:tcPr>
                <w:p>
                  <w:pPr>
                    <w:jc w:val="center"/>
                    <w:rPr>
                      <w:bCs/>
                      <w:szCs w:val="21"/>
                    </w:rPr>
                  </w:pPr>
                  <w:r>
                    <w:rPr>
                      <w:rFonts w:hint="eastAsia"/>
                      <w:szCs w:val="21"/>
                    </w:rPr>
                    <w:t>单层钢结构，地面硬化，</w:t>
                  </w:r>
                  <w:r>
                    <w:rPr>
                      <w:szCs w:val="21"/>
                    </w:rPr>
                    <w:t>建筑面积</w:t>
                  </w:r>
                  <w:r>
                    <w:rPr>
                      <w:rFonts w:hint="eastAsia"/>
                      <w:szCs w:val="21"/>
                    </w:rPr>
                    <w:t>1200</w:t>
                  </w:r>
                  <w:r>
                    <w:rPr>
                      <w:szCs w:val="21"/>
                    </w:rPr>
                    <w:t>m</w:t>
                  </w:r>
                  <w:r>
                    <w:rPr>
                      <w:szCs w:val="21"/>
                      <w:vertAlign w:val="superscript"/>
                    </w:rPr>
                    <w:t>2</w:t>
                  </w:r>
                  <w:r>
                    <w:rPr>
                      <w:rFonts w:hint="eastAsia"/>
                      <w:szCs w:val="21"/>
                      <w:vertAlign w:val="superscript"/>
                    </w:rPr>
                    <w:t xml:space="preserve"> </w:t>
                  </w:r>
                  <w:r>
                    <w:rPr>
                      <w:rFonts w:hint="eastAsia"/>
                      <w:szCs w:val="21"/>
                    </w:rPr>
                    <w:t>，（12m×100m），设原料区、成品区及废铁破碎磁选生产线一条；设有破碎机、磁选机等设备。</w:t>
                  </w:r>
                </w:p>
              </w:tc>
              <w:tc>
                <w:tcPr>
                  <w:tcW w:w="871" w:type="pct"/>
                  <w:vAlign w:val="center"/>
                </w:tcPr>
                <w:p>
                  <w:pPr>
                    <w:spacing w:line="360" w:lineRule="exact"/>
                    <w:jc w:val="center"/>
                    <w:rPr>
                      <w:szCs w:val="21"/>
                    </w:rPr>
                  </w:pPr>
                  <w:r>
                    <w:rPr>
                      <w:rFonts w:hint="eastAsia"/>
                      <w:szCs w:val="21"/>
                    </w:rPr>
                    <w:t>租赁现有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416" w:type="pct"/>
                  <w:vMerge w:val="restart"/>
                  <w:vAlign w:val="center"/>
                </w:tcPr>
                <w:p>
                  <w:pPr>
                    <w:spacing w:line="360" w:lineRule="exact"/>
                    <w:jc w:val="center"/>
                    <w:rPr>
                      <w:bCs/>
                      <w:szCs w:val="21"/>
                    </w:rPr>
                  </w:pPr>
                  <w:r>
                    <w:rPr>
                      <w:rFonts w:hint="eastAsia"/>
                      <w:bCs/>
                      <w:szCs w:val="21"/>
                    </w:rPr>
                    <w:t>储运工程</w:t>
                  </w:r>
                </w:p>
              </w:tc>
              <w:tc>
                <w:tcPr>
                  <w:tcW w:w="675" w:type="pct"/>
                  <w:vAlign w:val="center"/>
                </w:tcPr>
                <w:p>
                  <w:pPr>
                    <w:spacing w:line="360" w:lineRule="exact"/>
                    <w:jc w:val="center"/>
                    <w:rPr>
                      <w:szCs w:val="21"/>
                    </w:rPr>
                  </w:pPr>
                  <w:r>
                    <w:rPr>
                      <w:rFonts w:hint="eastAsia"/>
                      <w:szCs w:val="21"/>
                    </w:rPr>
                    <w:t>原料区</w:t>
                  </w:r>
                </w:p>
              </w:tc>
              <w:tc>
                <w:tcPr>
                  <w:tcW w:w="3037" w:type="pct"/>
                  <w:vAlign w:val="center"/>
                </w:tcPr>
                <w:p>
                  <w:pPr>
                    <w:jc w:val="center"/>
                    <w:rPr>
                      <w:szCs w:val="21"/>
                    </w:rPr>
                  </w:pPr>
                  <w:r>
                    <w:rPr>
                      <w:rFonts w:hint="eastAsia"/>
                      <w:szCs w:val="21"/>
                    </w:rPr>
                    <w:t>1层，生产车间北侧，建筑面积200㎡，用于暂存原料</w:t>
                  </w:r>
                </w:p>
              </w:tc>
              <w:tc>
                <w:tcPr>
                  <w:tcW w:w="871" w:type="pct"/>
                  <w:vAlign w:val="center"/>
                </w:tcPr>
                <w:p>
                  <w:pPr>
                    <w:spacing w:line="360" w:lineRule="exact"/>
                    <w:jc w:val="center"/>
                    <w:rPr>
                      <w:szCs w:val="21"/>
                    </w:rPr>
                  </w:pPr>
                  <w:r>
                    <w:rPr>
                      <w:rFonts w:hint="eastAsia"/>
                      <w:szCs w:val="21"/>
                    </w:rPr>
                    <w:t>租赁现有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continue"/>
                  <w:vAlign w:val="center"/>
                </w:tcPr>
                <w:p>
                  <w:pPr>
                    <w:spacing w:line="360" w:lineRule="exact"/>
                    <w:jc w:val="center"/>
                    <w:rPr>
                      <w:bCs/>
                      <w:szCs w:val="21"/>
                    </w:rPr>
                  </w:pPr>
                </w:p>
              </w:tc>
              <w:tc>
                <w:tcPr>
                  <w:tcW w:w="675" w:type="pct"/>
                  <w:vAlign w:val="center"/>
                </w:tcPr>
                <w:p>
                  <w:pPr>
                    <w:spacing w:line="360" w:lineRule="exact"/>
                    <w:jc w:val="center"/>
                    <w:rPr>
                      <w:szCs w:val="21"/>
                    </w:rPr>
                  </w:pPr>
                  <w:r>
                    <w:rPr>
                      <w:rFonts w:hint="eastAsia"/>
                      <w:szCs w:val="21"/>
                    </w:rPr>
                    <w:t>成品区</w:t>
                  </w:r>
                </w:p>
              </w:tc>
              <w:tc>
                <w:tcPr>
                  <w:tcW w:w="3037" w:type="pct"/>
                  <w:vAlign w:val="center"/>
                </w:tcPr>
                <w:p>
                  <w:pPr>
                    <w:jc w:val="center"/>
                    <w:rPr>
                      <w:szCs w:val="21"/>
                    </w:rPr>
                  </w:pPr>
                  <w:r>
                    <w:rPr>
                      <w:rFonts w:hint="eastAsia"/>
                      <w:szCs w:val="21"/>
                    </w:rPr>
                    <w:t>1层，生产车间西部，建筑面积400㎡，加工成品暂存区</w:t>
                  </w:r>
                </w:p>
              </w:tc>
              <w:tc>
                <w:tcPr>
                  <w:tcW w:w="871" w:type="pct"/>
                  <w:vAlign w:val="center"/>
                </w:tcPr>
                <w:p>
                  <w:pPr>
                    <w:spacing w:line="360" w:lineRule="exact"/>
                    <w:jc w:val="center"/>
                    <w:rPr>
                      <w:szCs w:val="21"/>
                    </w:rPr>
                  </w:pPr>
                  <w:r>
                    <w:rPr>
                      <w:rFonts w:hint="eastAsia"/>
                      <w:szCs w:val="21"/>
                    </w:rPr>
                    <w:t>租赁现有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Align w:val="center"/>
                </w:tcPr>
                <w:p>
                  <w:pPr>
                    <w:spacing w:line="360" w:lineRule="exact"/>
                    <w:jc w:val="center"/>
                    <w:rPr>
                      <w:bCs/>
                      <w:szCs w:val="21"/>
                    </w:rPr>
                  </w:pPr>
                  <w:r>
                    <w:rPr>
                      <w:bCs/>
                      <w:szCs w:val="21"/>
                    </w:rPr>
                    <w:t>辅助工程</w:t>
                  </w:r>
                </w:p>
              </w:tc>
              <w:tc>
                <w:tcPr>
                  <w:tcW w:w="675" w:type="pct"/>
                  <w:vAlign w:val="center"/>
                </w:tcPr>
                <w:p>
                  <w:pPr>
                    <w:spacing w:line="360" w:lineRule="exact"/>
                    <w:jc w:val="center"/>
                    <w:rPr>
                      <w:szCs w:val="21"/>
                    </w:rPr>
                  </w:pPr>
                  <w:r>
                    <w:rPr>
                      <w:szCs w:val="21"/>
                    </w:rPr>
                    <w:t>办公室</w:t>
                  </w:r>
                </w:p>
              </w:tc>
              <w:tc>
                <w:tcPr>
                  <w:tcW w:w="3037" w:type="pct"/>
                  <w:vAlign w:val="center"/>
                </w:tcPr>
                <w:p>
                  <w:pPr>
                    <w:jc w:val="center"/>
                    <w:rPr>
                      <w:szCs w:val="21"/>
                    </w:rPr>
                  </w:pPr>
                  <w:r>
                    <w:rPr>
                      <w:rFonts w:hint="eastAsia"/>
                      <w:szCs w:val="21"/>
                    </w:rPr>
                    <w:t>建筑面积50㎡，用于行政办公</w:t>
                  </w:r>
                </w:p>
              </w:tc>
              <w:tc>
                <w:tcPr>
                  <w:tcW w:w="871" w:type="pct"/>
                  <w:vAlign w:val="center"/>
                </w:tcPr>
                <w:p>
                  <w:pPr>
                    <w:spacing w:line="360" w:lineRule="exact"/>
                    <w:jc w:val="center"/>
                    <w:rPr>
                      <w:szCs w:val="21"/>
                    </w:rPr>
                  </w:pPr>
                  <w:r>
                    <w:rPr>
                      <w:rFonts w:hint="eastAsia"/>
                      <w:szCs w:val="21"/>
                    </w:rPr>
                    <w:t>已建成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restart"/>
                  <w:vAlign w:val="center"/>
                </w:tcPr>
                <w:p>
                  <w:pPr>
                    <w:spacing w:line="360" w:lineRule="exact"/>
                    <w:jc w:val="center"/>
                    <w:rPr>
                      <w:bCs/>
                      <w:szCs w:val="21"/>
                    </w:rPr>
                  </w:pPr>
                  <w:r>
                    <w:rPr>
                      <w:bCs/>
                      <w:szCs w:val="21"/>
                    </w:rPr>
                    <w:t>公用工程</w:t>
                  </w:r>
                </w:p>
              </w:tc>
              <w:tc>
                <w:tcPr>
                  <w:tcW w:w="675" w:type="pct"/>
                  <w:vAlign w:val="center"/>
                </w:tcPr>
                <w:p>
                  <w:pPr>
                    <w:spacing w:line="360" w:lineRule="exact"/>
                    <w:jc w:val="center"/>
                    <w:rPr>
                      <w:szCs w:val="21"/>
                    </w:rPr>
                  </w:pPr>
                  <w:r>
                    <w:rPr>
                      <w:szCs w:val="21"/>
                    </w:rPr>
                    <w:t>给水</w:t>
                  </w:r>
                </w:p>
              </w:tc>
              <w:tc>
                <w:tcPr>
                  <w:tcW w:w="3037" w:type="pct"/>
                  <w:vAlign w:val="center"/>
                </w:tcPr>
                <w:p>
                  <w:pPr>
                    <w:jc w:val="center"/>
                    <w:rPr>
                      <w:szCs w:val="21"/>
                    </w:rPr>
                  </w:pPr>
                  <w:r>
                    <w:rPr>
                      <w:rFonts w:hint="eastAsia"/>
                      <w:szCs w:val="21"/>
                    </w:rPr>
                    <w:t>市政供水管网</w:t>
                  </w:r>
                </w:p>
              </w:tc>
              <w:tc>
                <w:tcPr>
                  <w:tcW w:w="871" w:type="pct"/>
                  <w:vAlign w:val="center"/>
                </w:tcPr>
                <w:p>
                  <w:pPr>
                    <w:spacing w:line="360" w:lineRule="exact"/>
                    <w:jc w:val="center"/>
                    <w:rPr>
                      <w:bCs/>
                      <w:szCs w:val="21"/>
                    </w:rPr>
                  </w:pPr>
                  <w:r>
                    <w:rPr>
                      <w:rFonts w:hint="eastAsia"/>
                      <w:bCs/>
                      <w:szCs w:val="21"/>
                    </w:rPr>
                    <w:t>依托现有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continue"/>
                  <w:vAlign w:val="center"/>
                </w:tcPr>
                <w:p>
                  <w:pPr>
                    <w:spacing w:line="360" w:lineRule="exact"/>
                    <w:jc w:val="center"/>
                    <w:rPr>
                      <w:bCs/>
                      <w:szCs w:val="21"/>
                    </w:rPr>
                  </w:pPr>
                </w:p>
              </w:tc>
              <w:tc>
                <w:tcPr>
                  <w:tcW w:w="675" w:type="pct"/>
                  <w:vAlign w:val="center"/>
                </w:tcPr>
                <w:p>
                  <w:pPr>
                    <w:spacing w:line="360" w:lineRule="exact"/>
                    <w:jc w:val="center"/>
                    <w:rPr>
                      <w:szCs w:val="21"/>
                    </w:rPr>
                  </w:pPr>
                  <w:r>
                    <w:rPr>
                      <w:szCs w:val="21"/>
                    </w:rPr>
                    <w:t>排水</w:t>
                  </w:r>
                </w:p>
              </w:tc>
              <w:tc>
                <w:tcPr>
                  <w:tcW w:w="3037" w:type="pct"/>
                  <w:vAlign w:val="center"/>
                </w:tcPr>
                <w:p>
                  <w:pPr>
                    <w:jc w:val="center"/>
                    <w:rPr>
                      <w:szCs w:val="21"/>
                    </w:rPr>
                  </w:pPr>
                  <w:r>
                    <w:rPr>
                      <w:rFonts w:hint="eastAsia"/>
                      <w:szCs w:val="21"/>
                    </w:rPr>
                    <w:t>生活污水经厂区现有化粪池处理后经市政污水管网进入淞江产业集聚区污水处理厂</w:t>
                  </w:r>
                </w:p>
              </w:tc>
              <w:tc>
                <w:tcPr>
                  <w:tcW w:w="871" w:type="pct"/>
                  <w:vAlign w:val="center"/>
                </w:tcPr>
                <w:p>
                  <w:pPr>
                    <w:spacing w:line="360" w:lineRule="exact"/>
                    <w:jc w:val="center"/>
                    <w:rPr>
                      <w:bCs/>
                      <w:szCs w:val="21"/>
                    </w:rPr>
                  </w:pPr>
                  <w:r>
                    <w:rPr>
                      <w:rFonts w:hint="eastAsia"/>
                      <w:bCs/>
                      <w:szCs w:val="21"/>
                    </w:rPr>
                    <w:t>依托现有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continue"/>
                  <w:vAlign w:val="center"/>
                </w:tcPr>
                <w:p>
                  <w:pPr>
                    <w:spacing w:line="360" w:lineRule="exact"/>
                    <w:jc w:val="center"/>
                    <w:rPr>
                      <w:bCs/>
                      <w:szCs w:val="21"/>
                    </w:rPr>
                  </w:pPr>
                </w:p>
              </w:tc>
              <w:tc>
                <w:tcPr>
                  <w:tcW w:w="675" w:type="pct"/>
                  <w:vAlign w:val="center"/>
                </w:tcPr>
                <w:p>
                  <w:pPr>
                    <w:spacing w:line="360" w:lineRule="exact"/>
                    <w:jc w:val="center"/>
                    <w:rPr>
                      <w:szCs w:val="21"/>
                    </w:rPr>
                  </w:pPr>
                  <w:r>
                    <w:rPr>
                      <w:szCs w:val="21"/>
                    </w:rPr>
                    <w:t>用电</w:t>
                  </w:r>
                </w:p>
              </w:tc>
              <w:tc>
                <w:tcPr>
                  <w:tcW w:w="3037" w:type="pct"/>
                  <w:vAlign w:val="center"/>
                </w:tcPr>
                <w:p>
                  <w:pPr>
                    <w:jc w:val="center"/>
                    <w:rPr>
                      <w:szCs w:val="21"/>
                    </w:rPr>
                  </w:pPr>
                  <w:r>
                    <w:rPr>
                      <w:rFonts w:hint="eastAsia"/>
                      <w:szCs w:val="21"/>
                    </w:rPr>
                    <w:t>市政供电线路</w:t>
                  </w:r>
                </w:p>
              </w:tc>
              <w:tc>
                <w:tcPr>
                  <w:tcW w:w="871" w:type="pct"/>
                  <w:vAlign w:val="center"/>
                </w:tcPr>
                <w:p>
                  <w:pPr>
                    <w:spacing w:line="360" w:lineRule="exact"/>
                    <w:jc w:val="center"/>
                    <w:rPr>
                      <w:szCs w:val="21"/>
                    </w:rPr>
                  </w:pPr>
                  <w:r>
                    <w:rPr>
                      <w:rFonts w:hint="eastAsia"/>
                      <w:szCs w:val="21"/>
                    </w:rPr>
                    <w:t>依托现有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restart"/>
                  <w:vAlign w:val="center"/>
                </w:tcPr>
                <w:p>
                  <w:pPr>
                    <w:spacing w:line="360" w:lineRule="exact"/>
                    <w:jc w:val="center"/>
                    <w:rPr>
                      <w:bCs/>
                      <w:szCs w:val="21"/>
                    </w:rPr>
                  </w:pPr>
                  <w:r>
                    <w:rPr>
                      <w:bCs/>
                      <w:szCs w:val="21"/>
                    </w:rPr>
                    <w:t>环保工程</w:t>
                  </w:r>
                </w:p>
              </w:tc>
              <w:tc>
                <w:tcPr>
                  <w:tcW w:w="675" w:type="pct"/>
                  <w:vAlign w:val="center"/>
                </w:tcPr>
                <w:p>
                  <w:pPr>
                    <w:spacing w:line="360" w:lineRule="exact"/>
                    <w:jc w:val="center"/>
                    <w:rPr>
                      <w:szCs w:val="21"/>
                    </w:rPr>
                  </w:pPr>
                  <w:r>
                    <w:rPr>
                      <w:szCs w:val="21"/>
                    </w:rPr>
                    <w:t>废水治理</w:t>
                  </w:r>
                </w:p>
              </w:tc>
              <w:tc>
                <w:tcPr>
                  <w:tcW w:w="3037" w:type="pct"/>
                  <w:vAlign w:val="center"/>
                </w:tcPr>
                <w:p>
                  <w:pPr>
                    <w:jc w:val="center"/>
                    <w:rPr>
                      <w:szCs w:val="21"/>
                    </w:rPr>
                  </w:pPr>
                  <w:r>
                    <w:rPr>
                      <w:rFonts w:hint="eastAsia"/>
                      <w:szCs w:val="21"/>
                    </w:rPr>
                    <w:t>厂区现有化粪池</w:t>
                  </w:r>
                </w:p>
              </w:tc>
              <w:tc>
                <w:tcPr>
                  <w:tcW w:w="871" w:type="pct"/>
                  <w:vAlign w:val="center"/>
                </w:tcPr>
                <w:p>
                  <w:pPr>
                    <w:spacing w:line="360" w:lineRule="exact"/>
                    <w:jc w:val="center"/>
                    <w:rPr>
                      <w:szCs w:val="21"/>
                    </w:rPr>
                  </w:pPr>
                  <w:r>
                    <w:rPr>
                      <w:rFonts w:hint="eastAsia"/>
                      <w:szCs w:val="21"/>
                    </w:rPr>
                    <w:t>现有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continue"/>
                  <w:vAlign w:val="center"/>
                </w:tcPr>
                <w:p>
                  <w:pPr>
                    <w:spacing w:line="360" w:lineRule="exact"/>
                    <w:jc w:val="center"/>
                    <w:rPr>
                      <w:bCs/>
                      <w:szCs w:val="21"/>
                    </w:rPr>
                  </w:pPr>
                </w:p>
              </w:tc>
              <w:tc>
                <w:tcPr>
                  <w:tcW w:w="675" w:type="pct"/>
                  <w:vAlign w:val="center"/>
                </w:tcPr>
                <w:p>
                  <w:pPr>
                    <w:spacing w:line="360" w:lineRule="exact"/>
                    <w:jc w:val="center"/>
                    <w:rPr>
                      <w:szCs w:val="21"/>
                    </w:rPr>
                  </w:pPr>
                  <w:r>
                    <w:rPr>
                      <w:szCs w:val="21"/>
                    </w:rPr>
                    <w:t>废气治理</w:t>
                  </w:r>
                </w:p>
              </w:tc>
              <w:tc>
                <w:tcPr>
                  <w:tcW w:w="3037" w:type="pct"/>
                  <w:vAlign w:val="center"/>
                </w:tcPr>
                <w:p>
                  <w:pPr>
                    <w:jc w:val="center"/>
                    <w:rPr>
                      <w:szCs w:val="21"/>
                    </w:rPr>
                  </w:pPr>
                  <w:r>
                    <w:rPr>
                      <w:rFonts w:hint="eastAsia"/>
                      <w:szCs w:val="21"/>
                    </w:rPr>
                    <w:t>破碎及磁选粉尘经旋风布袋除尘器处理后经1根15m高排气筒；</w:t>
                  </w:r>
                </w:p>
              </w:tc>
              <w:tc>
                <w:tcPr>
                  <w:tcW w:w="871" w:type="pct"/>
                  <w:vAlign w:val="center"/>
                </w:tcPr>
                <w:p>
                  <w:pPr>
                    <w:spacing w:line="360" w:lineRule="exact"/>
                    <w:jc w:val="center"/>
                    <w:rPr>
                      <w:szCs w:val="21"/>
                    </w:rPr>
                  </w:pPr>
                  <w:r>
                    <w:rPr>
                      <w:rFonts w:hint="eastAsia"/>
                      <w:szCs w:val="21"/>
                    </w:rPr>
                    <w:t>已建成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416" w:type="pct"/>
                  <w:vMerge w:val="continue"/>
                  <w:vAlign w:val="center"/>
                </w:tcPr>
                <w:p>
                  <w:pPr>
                    <w:spacing w:line="360" w:lineRule="exact"/>
                    <w:jc w:val="center"/>
                    <w:rPr>
                      <w:bCs/>
                      <w:szCs w:val="21"/>
                    </w:rPr>
                  </w:pPr>
                </w:p>
              </w:tc>
              <w:tc>
                <w:tcPr>
                  <w:tcW w:w="675" w:type="pct"/>
                  <w:vMerge w:val="restart"/>
                  <w:vAlign w:val="center"/>
                </w:tcPr>
                <w:p>
                  <w:pPr>
                    <w:spacing w:line="360" w:lineRule="exact"/>
                    <w:jc w:val="center"/>
                    <w:rPr>
                      <w:szCs w:val="21"/>
                    </w:rPr>
                  </w:pPr>
                  <w:r>
                    <w:rPr>
                      <w:bCs/>
                      <w:szCs w:val="21"/>
                    </w:rPr>
                    <w:t>固废治理</w:t>
                  </w:r>
                </w:p>
              </w:tc>
              <w:tc>
                <w:tcPr>
                  <w:tcW w:w="3037" w:type="pct"/>
                  <w:vAlign w:val="center"/>
                </w:tcPr>
                <w:p>
                  <w:pPr>
                    <w:jc w:val="center"/>
                    <w:rPr>
                      <w:szCs w:val="21"/>
                    </w:rPr>
                  </w:pPr>
                  <w:r>
                    <w:rPr>
                      <w:rFonts w:hint="eastAsia"/>
                      <w:szCs w:val="21"/>
                    </w:rPr>
                    <w:t>磁选分离出来的杂质主要成分为塑料等，收集后外售塑料回收企业；除尘器收集除尘灰外售综合利用</w:t>
                  </w:r>
                </w:p>
              </w:tc>
              <w:tc>
                <w:tcPr>
                  <w:tcW w:w="871" w:type="pct"/>
                  <w:vMerge w:val="restart"/>
                  <w:vAlign w:val="center"/>
                </w:tcPr>
                <w:p>
                  <w:pPr>
                    <w:spacing w:line="360" w:lineRule="exact"/>
                    <w:jc w:val="center"/>
                    <w:rPr>
                      <w:szCs w:val="21"/>
                    </w:rPr>
                  </w:pPr>
                  <w:r>
                    <w:rPr>
                      <w:rFonts w:hint="eastAsia"/>
                      <w:szCs w:val="21"/>
                    </w:rPr>
                    <w:t>已建成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416" w:type="pct"/>
                  <w:vMerge w:val="continue"/>
                  <w:vAlign w:val="center"/>
                </w:tcPr>
                <w:p>
                  <w:pPr>
                    <w:spacing w:line="360" w:lineRule="exact"/>
                    <w:jc w:val="center"/>
                  </w:pPr>
                </w:p>
              </w:tc>
              <w:tc>
                <w:tcPr>
                  <w:tcW w:w="675" w:type="pct"/>
                  <w:vMerge w:val="continue"/>
                  <w:vAlign w:val="center"/>
                </w:tcPr>
                <w:p>
                  <w:pPr>
                    <w:spacing w:line="360" w:lineRule="exact"/>
                    <w:jc w:val="center"/>
                  </w:pPr>
                </w:p>
              </w:tc>
              <w:tc>
                <w:tcPr>
                  <w:tcW w:w="3037" w:type="pct"/>
                  <w:vAlign w:val="center"/>
                </w:tcPr>
                <w:p>
                  <w:pPr>
                    <w:jc w:val="center"/>
                    <w:rPr>
                      <w:szCs w:val="21"/>
                    </w:rPr>
                  </w:pPr>
                  <w:r>
                    <w:rPr>
                      <w:rFonts w:hint="eastAsia"/>
                      <w:szCs w:val="21"/>
                    </w:rPr>
                    <w:t>生活垃圾，厂区设垃圾收集桶，定期交由环卫部门统一处理</w:t>
                  </w:r>
                </w:p>
              </w:tc>
              <w:tc>
                <w:tcPr>
                  <w:tcW w:w="871" w:type="pct"/>
                  <w:vMerge w:val="continue"/>
                  <w:vAlign w:val="center"/>
                </w:tcPr>
                <w:p>
                  <w:pPr>
                    <w:spacing w:line="3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16" w:type="pct"/>
                  <w:vMerge w:val="continue"/>
                  <w:vAlign w:val="center"/>
                </w:tcPr>
                <w:p>
                  <w:pPr>
                    <w:spacing w:line="360" w:lineRule="exact"/>
                    <w:jc w:val="center"/>
                    <w:rPr>
                      <w:bCs/>
                      <w:szCs w:val="21"/>
                    </w:rPr>
                  </w:pPr>
                </w:p>
              </w:tc>
              <w:tc>
                <w:tcPr>
                  <w:tcW w:w="675" w:type="pct"/>
                  <w:vAlign w:val="center"/>
                </w:tcPr>
                <w:p>
                  <w:pPr>
                    <w:spacing w:line="360" w:lineRule="exact"/>
                    <w:jc w:val="center"/>
                    <w:rPr>
                      <w:bCs/>
                      <w:szCs w:val="21"/>
                    </w:rPr>
                  </w:pPr>
                  <w:r>
                    <w:rPr>
                      <w:bCs/>
                      <w:szCs w:val="21"/>
                    </w:rPr>
                    <w:t>噪声治理</w:t>
                  </w:r>
                </w:p>
              </w:tc>
              <w:tc>
                <w:tcPr>
                  <w:tcW w:w="3037" w:type="pct"/>
                  <w:vAlign w:val="center"/>
                </w:tcPr>
                <w:p>
                  <w:pPr>
                    <w:jc w:val="center"/>
                    <w:rPr>
                      <w:szCs w:val="21"/>
                    </w:rPr>
                  </w:pPr>
                  <w:r>
                    <w:rPr>
                      <w:rFonts w:hint="eastAsia"/>
                      <w:szCs w:val="21"/>
                    </w:rPr>
                    <w:t>基础减振、建筑隔声</w:t>
                  </w:r>
                </w:p>
              </w:tc>
              <w:tc>
                <w:tcPr>
                  <w:tcW w:w="871" w:type="pct"/>
                  <w:vAlign w:val="center"/>
                </w:tcPr>
                <w:p>
                  <w:pPr>
                    <w:spacing w:line="360" w:lineRule="exact"/>
                    <w:jc w:val="center"/>
                    <w:rPr>
                      <w:bCs/>
                      <w:szCs w:val="21"/>
                    </w:rPr>
                  </w:pPr>
                  <w:r>
                    <w:rPr>
                      <w:rFonts w:hint="eastAsia"/>
                      <w:bCs/>
                      <w:szCs w:val="21"/>
                    </w:rPr>
                    <w:t>已建成</w:t>
                  </w:r>
                </w:p>
              </w:tc>
            </w:tr>
          </w:tbl>
          <w:p>
            <w:pPr>
              <w:pStyle w:val="8"/>
              <w:spacing w:line="520" w:lineRule="exact"/>
              <w:rPr>
                <w:color w:val="000000"/>
                <w:sz w:val="24"/>
              </w:rPr>
            </w:pPr>
            <w:r>
              <w:rPr>
                <w:rFonts w:hint="eastAsia" w:ascii="Times New Roman" w:hAnsi="Times New Roman"/>
                <w:b/>
                <w:color w:val="000000"/>
                <w:sz w:val="24"/>
                <w:szCs w:val="24"/>
                <w:lang w:val="zh-CN"/>
              </w:rPr>
              <w:t>2、</w:t>
            </w:r>
            <w:r>
              <w:rPr>
                <w:rFonts w:ascii="Times New Roman" w:hAnsi="Times New Roman"/>
                <w:b/>
                <w:color w:val="000000"/>
                <w:sz w:val="24"/>
                <w:szCs w:val="24"/>
              </w:rPr>
              <w:t>项目营运期主要设备</w:t>
            </w:r>
          </w:p>
          <w:p>
            <w:pPr>
              <w:spacing w:line="520" w:lineRule="exact"/>
              <w:ind w:firstLine="480" w:firstLineChars="200"/>
              <w:rPr>
                <w:rFonts w:ascii="黑体" w:hAnsi="黑体" w:eastAsia="黑体" w:cs="黑体"/>
                <w:color w:val="000000"/>
                <w:sz w:val="24"/>
                <w:lang w:val="zh-CN"/>
              </w:rPr>
            </w:pPr>
            <w:r>
              <w:rPr>
                <w:color w:val="000000"/>
                <w:sz w:val="24"/>
              </w:rPr>
              <w:t>项目营运期主要设备见表</w:t>
            </w:r>
            <w:r>
              <w:rPr>
                <w:rFonts w:hint="eastAsia"/>
                <w:color w:val="000000"/>
                <w:sz w:val="24"/>
              </w:rPr>
              <w:t>2-2</w:t>
            </w:r>
            <w:r>
              <w:rPr>
                <w:color w:val="000000"/>
                <w:sz w:val="24"/>
              </w:rPr>
              <w:t>。</w:t>
            </w:r>
          </w:p>
          <w:p>
            <w:pPr>
              <w:spacing w:line="520" w:lineRule="exact"/>
              <w:jc w:val="center"/>
              <w:rPr>
                <w:rFonts w:ascii="黑体" w:hAnsi="黑体" w:eastAsia="黑体" w:cs="黑体"/>
                <w:color w:val="000000"/>
                <w:sz w:val="24"/>
                <w:lang w:val="zh-CN"/>
              </w:rPr>
            </w:pPr>
            <w:r>
              <w:rPr>
                <w:rFonts w:hint="eastAsia" w:ascii="黑体" w:hAnsi="黑体" w:eastAsia="黑体" w:cs="黑体"/>
                <w:color w:val="000000"/>
                <w:sz w:val="24"/>
                <w:lang w:val="zh-CN"/>
              </w:rPr>
              <w:t>表</w:t>
            </w:r>
            <w:r>
              <w:rPr>
                <w:rFonts w:hint="eastAsia" w:ascii="黑体" w:hAnsi="黑体" w:eastAsia="黑体" w:cs="黑体"/>
                <w:color w:val="000000"/>
                <w:sz w:val="24"/>
              </w:rPr>
              <w:t xml:space="preserve">2-2  </w:t>
            </w:r>
            <w:r>
              <w:rPr>
                <w:rFonts w:hint="eastAsia" w:ascii="黑体" w:hAnsi="黑体" w:eastAsia="黑体" w:cs="黑体"/>
                <w:color w:val="000000"/>
                <w:sz w:val="24"/>
                <w:lang w:val="zh-CN"/>
              </w:rPr>
              <w:t>项目营运期</w:t>
            </w:r>
            <w:r>
              <w:rPr>
                <w:rFonts w:hint="eastAsia" w:ascii="黑体" w:hAnsi="黑体" w:eastAsia="黑体" w:cs="黑体"/>
                <w:color w:val="000000"/>
                <w:sz w:val="24"/>
              </w:rPr>
              <w:t>主要设备</w:t>
            </w:r>
            <w:r>
              <w:rPr>
                <w:rFonts w:hint="eastAsia" w:ascii="黑体" w:hAnsi="黑体" w:eastAsia="黑体" w:cs="黑体"/>
                <w:color w:val="000000"/>
                <w:sz w:val="24"/>
                <w:lang w:val="zh-CN"/>
              </w:rPr>
              <w:t>一览表</w:t>
            </w:r>
          </w:p>
          <w:tbl>
            <w:tblPr>
              <w:tblStyle w:val="1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21"/>
              <w:gridCol w:w="2175"/>
              <w:gridCol w:w="1247"/>
              <w:gridCol w:w="1247"/>
              <w:gridCol w:w="155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blHeader/>
              </w:trPr>
              <w:tc>
                <w:tcPr>
                  <w:tcW w:w="538" w:type="pct"/>
                  <w:vAlign w:val="center"/>
                </w:tcPr>
                <w:p>
                  <w:pPr>
                    <w:spacing w:line="360" w:lineRule="exact"/>
                    <w:jc w:val="center"/>
                    <w:rPr>
                      <w:bCs/>
                      <w:szCs w:val="21"/>
                    </w:rPr>
                  </w:pPr>
                  <w:r>
                    <w:rPr>
                      <w:rFonts w:hAnsi="宋体"/>
                      <w:bCs/>
                      <w:szCs w:val="21"/>
                    </w:rPr>
                    <w:t>序号</w:t>
                  </w:r>
                </w:p>
              </w:tc>
              <w:tc>
                <w:tcPr>
                  <w:tcW w:w="1270" w:type="pct"/>
                  <w:vAlign w:val="center"/>
                </w:tcPr>
                <w:p>
                  <w:pPr>
                    <w:spacing w:line="360" w:lineRule="exact"/>
                    <w:jc w:val="center"/>
                    <w:rPr>
                      <w:bCs/>
                      <w:szCs w:val="21"/>
                    </w:rPr>
                  </w:pPr>
                  <w:r>
                    <w:rPr>
                      <w:rFonts w:hAnsi="宋体"/>
                      <w:bCs/>
                      <w:szCs w:val="21"/>
                    </w:rPr>
                    <w:t>设备名称</w:t>
                  </w:r>
                </w:p>
              </w:tc>
              <w:tc>
                <w:tcPr>
                  <w:tcW w:w="728" w:type="pct"/>
                  <w:vAlign w:val="center"/>
                </w:tcPr>
                <w:p>
                  <w:pPr>
                    <w:spacing w:line="360" w:lineRule="exact"/>
                    <w:jc w:val="center"/>
                    <w:rPr>
                      <w:rFonts w:hAnsi="宋体"/>
                      <w:bCs/>
                      <w:szCs w:val="21"/>
                    </w:rPr>
                  </w:pPr>
                  <w:r>
                    <w:rPr>
                      <w:rFonts w:hint="eastAsia" w:hAnsi="宋体"/>
                      <w:bCs/>
                      <w:szCs w:val="21"/>
                    </w:rPr>
                    <w:t>型号</w:t>
                  </w:r>
                </w:p>
              </w:tc>
              <w:tc>
                <w:tcPr>
                  <w:tcW w:w="728" w:type="pct"/>
                  <w:vAlign w:val="center"/>
                </w:tcPr>
                <w:p>
                  <w:pPr>
                    <w:spacing w:line="360" w:lineRule="exact"/>
                    <w:jc w:val="center"/>
                    <w:rPr>
                      <w:bCs/>
                      <w:szCs w:val="21"/>
                    </w:rPr>
                  </w:pPr>
                  <w:r>
                    <w:rPr>
                      <w:rFonts w:hAnsi="宋体"/>
                      <w:bCs/>
                      <w:szCs w:val="21"/>
                    </w:rPr>
                    <w:t>单位</w:t>
                  </w:r>
                </w:p>
              </w:tc>
              <w:tc>
                <w:tcPr>
                  <w:tcW w:w="910" w:type="pct"/>
                  <w:vAlign w:val="center"/>
                </w:tcPr>
                <w:p>
                  <w:pPr>
                    <w:spacing w:line="360" w:lineRule="exact"/>
                    <w:jc w:val="center"/>
                    <w:rPr>
                      <w:bCs/>
                      <w:szCs w:val="21"/>
                    </w:rPr>
                  </w:pPr>
                  <w:r>
                    <w:rPr>
                      <w:rFonts w:hAnsi="宋体"/>
                      <w:bCs/>
                      <w:szCs w:val="21"/>
                    </w:rPr>
                    <w:t>数量</w:t>
                  </w:r>
                </w:p>
              </w:tc>
              <w:tc>
                <w:tcPr>
                  <w:tcW w:w="822" w:type="pct"/>
                  <w:vAlign w:val="center"/>
                </w:tcPr>
                <w:p>
                  <w:pPr>
                    <w:spacing w:line="360" w:lineRule="exact"/>
                    <w:jc w:val="center"/>
                    <w:rPr>
                      <w:bCs/>
                      <w:szCs w:val="21"/>
                    </w:rPr>
                  </w:pPr>
                  <w:r>
                    <w:rPr>
                      <w:rFonts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blHeader/>
              </w:trPr>
              <w:tc>
                <w:tcPr>
                  <w:tcW w:w="538" w:type="pct"/>
                  <w:vAlign w:val="center"/>
                </w:tcPr>
                <w:p>
                  <w:pPr>
                    <w:jc w:val="center"/>
                    <w:rPr>
                      <w:bCs/>
                      <w:szCs w:val="21"/>
                    </w:rPr>
                  </w:pPr>
                  <w:r>
                    <w:rPr>
                      <w:bCs/>
                      <w:szCs w:val="21"/>
                    </w:rPr>
                    <w:t>1</w:t>
                  </w:r>
                </w:p>
              </w:tc>
              <w:tc>
                <w:tcPr>
                  <w:tcW w:w="1270" w:type="pct"/>
                  <w:vAlign w:val="center"/>
                </w:tcPr>
                <w:p>
                  <w:pPr>
                    <w:jc w:val="center"/>
                    <w:rPr>
                      <w:bCs/>
                      <w:szCs w:val="21"/>
                    </w:rPr>
                  </w:pPr>
                  <w:r>
                    <w:rPr>
                      <w:rFonts w:hint="eastAsia"/>
                      <w:bCs/>
                      <w:szCs w:val="21"/>
                    </w:rPr>
                    <w:t>上料输送机</w:t>
                  </w:r>
                </w:p>
              </w:tc>
              <w:tc>
                <w:tcPr>
                  <w:tcW w:w="728" w:type="pct"/>
                  <w:vAlign w:val="center"/>
                </w:tcPr>
                <w:p>
                  <w:pPr>
                    <w:jc w:val="center"/>
                    <w:rPr>
                      <w:bCs/>
                      <w:szCs w:val="21"/>
                    </w:rPr>
                  </w:pPr>
                  <w:r>
                    <w:rPr>
                      <w:rFonts w:hint="eastAsia"/>
                      <w:bCs/>
                      <w:szCs w:val="21"/>
                    </w:rPr>
                    <w:t>SLJ1000</w:t>
                  </w:r>
                </w:p>
              </w:tc>
              <w:tc>
                <w:tcPr>
                  <w:tcW w:w="728" w:type="pct"/>
                  <w:vAlign w:val="center"/>
                </w:tcPr>
                <w:p>
                  <w:pPr>
                    <w:jc w:val="center"/>
                    <w:rPr>
                      <w:bCs/>
                      <w:szCs w:val="21"/>
                    </w:rPr>
                  </w:pPr>
                  <w:r>
                    <w:rPr>
                      <w:rFonts w:hint="eastAsia"/>
                      <w:bCs/>
                      <w:szCs w:val="21"/>
                    </w:rPr>
                    <w:t>条</w:t>
                  </w:r>
                </w:p>
              </w:tc>
              <w:tc>
                <w:tcPr>
                  <w:tcW w:w="910" w:type="pct"/>
                  <w:vAlign w:val="center"/>
                </w:tcPr>
                <w:p>
                  <w:pPr>
                    <w:jc w:val="center"/>
                    <w:rPr>
                      <w:bCs/>
                      <w:szCs w:val="21"/>
                    </w:rPr>
                  </w:pPr>
                  <w:r>
                    <w:rPr>
                      <w:rFonts w:hint="eastAsia"/>
                      <w:bCs/>
                      <w:szCs w:val="21"/>
                    </w:rPr>
                    <w:t>1</w:t>
                  </w:r>
                </w:p>
              </w:tc>
              <w:tc>
                <w:tcPr>
                  <w:tcW w:w="822" w:type="pct"/>
                  <w:vAlign w:val="center"/>
                </w:tcPr>
                <w:p>
                  <w:pPr>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538" w:type="pct"/>
                  <w:vAlign w:val="center"/>
                </w:tcPr>
                <w:p>
                  <w:pPr>
                    <w:jc w:val="center"/>
                    <w:rPr>
                      <w:bCs/>
                      <w:szCs w:val="21"/>
                    </w:rPr>
                  </w:pPr>
                  <w:r>
                    <w:rPr>
                      <w:bCs/>
                      <w:szCs w:val="21"/>
                    </w:rPr>
                    <w:t>2</w:t>
                  </w:r>
                </w:p>
              </w:tc>
              <w:tc>
                <w:tcPr>
                  <w:tcW w:w="1270" w:type="pct"/>
                  <w:vAlign w:val="center"/>
                </w:tcPr>
                <w:p>
                  <w:pPr>
                    <w:jc w:val="center"/>
                    <w:rPr>
                      <w:bCs/>
                      <w:szCs w:val="21"/>
                    </w:rPr>
                  </w:pPr>
                  <w:r>
                    <w:rPr>
                      <w:rFonts w:hint="eastAsia" w:hAnsi="宋体"/>
                      <w:bCs/>
                      <w:szCs w:val="21"/>
                    </w:rPr>
                    <w:t>破碎机主机</w:t>
                  </w:r>
                </w:p>
              </w:tc>
              <w:tc>
                <w:tcPr>
                  <w:tcW w:w="728" w:type="pct"/>
                  <w:vAlign w:val="center"/>
                </w:tcPr>
                <w:p>
                  <w:pPr>
                    <w:jc w:val="center"/>
                    <w:rPr>
                      <w:rFonts w:hAnsi="宋体"/>
                      <w:bCs/>
                      <w:szCs w:val="21"/>
                    </w:rPr>
                  </w:pPr>
                  <w:r>
                    <w:rPr>
                      <w:rFonts w:hint="eastAsia" w:hAnsi="宋体"/>
                      <w:bCs/>
                      <w:szCs w:val="21"/>
                    </w:rPr>
                    <w:t>psj-450</w:t>
                  </w:r>
                </w:p>
              </w:tc>
              <w:tc>
                <w:tcPr>
                  <w:tcW w:w="728" w:type="pct"/>
                  <w:vAlign w:val="center"/>
                </w:tcPr>
                <w:p>
                  <w:pPr>
                    <w:jc w:val="center"/>
                    <w:rPr>
                      <w:bCs/>
                      <w:szCs w:val="21"/>
                    </w:rPr>
                  </w:pPr>
                  <w:r>
                    <w:rPr>
                      <w:rFonts w:hAnsi="宋体"/>
                      <w:bCs/>
                      <w:szCs w:val="21"/>
                    </w:rPr>
                    <w:t>台</w:t>
                  </w:r>
                </w:p>
              </w:tc>
              <w:tc>
                <w:tcPr>
                  <w:tcW w:w="910" w:type="pct"/>
                  <w:vAlign w:val="center"/>
                </w:tcPr>
                <w:p>
                  <w:pPr>
                    <w:jc w:val="center"/>
                    <w:rPr>
                      <w:bCs/>
                      <w:szCs w:val="21"/>
                    </w:rPr>
                  </w:pPr>
                  <w:r>
                    <w:rPr>
                      <w:rFonts w:hint="eastAsia"/>
                      <w:bCs/>
                      <w:szCs w:val="21"/>
                    </w:rPr>
                    <w:t>1</w:t>
                  </w:r>
                </w:p>
              </w:tc>
              <w:tc>
                <w:tcPr>
                  <w:tcW w:w="822" w:type="pct"/>
                  <w:vAlign w:val="center"/>
                </w:tcPr>
                <w:p>
                  <w:pPr>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538" w:type="pct"/>
                  <w:vAlign w:val="center"/>
                </w:tcPr>
                <w:p>
                  <w:pPr>
                    <w:jc w:val="center"/>
                    <w:rPr>
                      <w:bCs/>
                      <w:szCs w:val="21"/>
                    </w:rPr>
                  </w:pPr>
                  <w:r>
                    <w:rPr>
                      <w:rFonts w:hint="eastAsia"/>
                      <w:bCs/>
                      <w:szCs w:val="21"/>
                    </w:rPr>
                    <w:t>3</w:t>
                  </w:r>
                </w:p>
              </w:tc>
              <w:tc>
                <w:tcPr>
                  <w:tcW w:w="1270" w:type="pct"/>
                  <w:vAlign w:val="center"/>
                </w:tcPr>
                <w:p>
                  <w:pPr>
                    <w:jc w:val="center"/>
                    <w:rPr>
                      <w:rFonts w:hAnsi="宋体"/>
                      <w:bCs/>
                      <w:szCs w:val="21"/>
                    </w:rPr>
                  </w:pPr>
                  <w:r>
                    <w:rPr>
                      <w:rFonts w:hint="eastAsia" w:hAnsi="宋体"/>
                      <w:bCs/>
                      <w:szCs w:val="21"/>
                    </w:rPr>
                    <w:t>破碎机主电机</w:t>
                  </w:r>
                </w:p>
              </w:tc>
              <w:tc>
                <w:tcPr>
                  <w:tcW w:w="728" w:type="pct"/>
                  <w:vAlign w:val="center"/>
                </w:tcPr>
                <w:p>
                  <w:pPr>
                    <w:jc w:val="center"/>
                    <w:rPr>
                      <w:rFonts w:hAnsi="宋体"/>
                      <w:bCs/>
                      <w:szCs w:val="21"/>
                    </w:rPr>
                  </w:pPr>
                  <w:r>
                    <w:rPr>
                      <w:rFonts w:hint="eastAsia" w:hAnsi="宋体"/>
                      <w:bCs/>
                      <w:szCs w:val="21"/>
                    </w:rPr>
                    <w:t>/</w:t>
                  </w:r>
                </w:p>
              </w:tc>
              <w:tc>
                <w:tcPr>
                  <w:tcW w:w="728" w:type="pct"/>
                  <w:vAlign w:val="center"/>
                </w:tcPr>
                <w:p>
                  <w:pPr>
                    <w:jc w:val="center"/>
                    <w:rPr>
                      <w:rFonts w:hAnsi="宋体"/>
                      <w:bCs/>
                      <w:szCs w:val="21"/>
                    </w:rPr>
                  </w:pPr>
                  <w:r>
                    <w:rPr>
                      <w:rFonts w:hint="eastAsia" w:hAnsi="宋体"/>
                      <w:bCs/>
                      <w:szCs w:val="21"/>
                    </w:rPr>
                    <w:t>台</w:t>
                  </w:r>
                </w:p>
              </w:tc>
              <w:tc>
                <w:tcPr>
                  <w:tcW w:w="910" w:type="pct"/>
                  <w:vAlign w:val="center"/>
                </w:tcPr>
                <w:p>
                  <w:pPr>
                    <w:jc w:val="center"/>
                    <w:rPr>
                      <w:bCs/>
                      <w:szCs w:val="21"/>
                    </w:rPr>
                  </w:pPr>
                  <w:r>
                    <w:rPr>
                      <w:rFonts w:hint="eastAsia"/>
                      <w:bCs/>
                      <w:szCs w:val="21"/>
                    </w:rPr>
                    <w:t>1</w:t>
                  </w:r>
                </w:p>
              </w:tc>
              <w:tc>
                <w:tcPr>
                  <w:tcW w:w="822" w:type="pct"/>
                  <w:vAlign w:val="center"/>
                </w:tcPr>
                <w:p>
                  <w:pPr>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538" w:type="pct"/>
                  <w:vAlign w:val="center"/>
                </w:tcPr>
                <w:p>
                  <w:pPr>
                    <w:jc w:val="center"/>
                    <w:rPr>
                      <w:bCs/>
                      <w:szCs w:val="21"/>
                    </w:rPr>
                  </w:pPr>
                  <w:r>
                    <w:rPr>
                      <w:rFonts w:hint="eastAsia"/>
                      <w:bCs/>
                      <w:szCs w:val="21"/>
                    </w:rPr>
                    <w:t>4</w:t>
                  </w:r>
                </w:p>
              </w:tc>
              <w:tc>
                <w:tcPr>
                  <w:tcW w:w="1270" w:type="pct"/>
                  <w:vAlign w:val="center"/>
                </w:tcPr>
                <w:p>
                  <w:pPr>
                    <w:jc w:val="center"/>
                    <w:rPr>
                      <w:rFonts w:hAnsi="宋体"/>
                      <w:bCs/>
                      <w:szCs w:val="21"/>
                    </w:rPr>
                  </w:pPr>
                  <w:r>
                    <w:rPr>
                      <w:rFonts w:hint="eastAsia" w:hAnsi="宋体"/>
                      <w:bCs/>
                      <w:szCs w:val="21"/>
                    </w:rPr>
                    <w:t>出料皮带机</w:t>
                  </w:r>
                </w:p>
              </w:tc>
              <w:tc>
                <w:tcPr>
                  <w:tcW w:w="728" w:type="pct"/>
                  <w:vAlign w:val="center"/>
                </w:tcPr>
                <w:p>
                  <w:pPr>
                    <w:jc w:val="center"/>
                    <w:rPr>
                      <w:rFonts w:hAnsi="宋体"/>
                      <w:bCs/>
                      <w:szCs w:val="21"/>
                    </w:rPr>
                  </w:pPr>
                  <w:r>
                    <w:rPr>
                      <w:rFonts w:hint="eastAsia" w:hAnsi="宋体"/>
                      <w:bCs/>
                      <w:szCs w:val="21"/>
                    </w:rPr>
                    <w:t>/</w:t>
                  </w:r>
                </w:p>
              </w:tc>
              <w:tc>
                <w:tcPr>
                  <w:tcW w:w="728" w:type="pct"/>
                  <w:vAlign w:val="center"/>
                </w:tcPr>
                <w:p>
                  <w:pPr>
                    <w:jc w:val="center"/>
                    <w:rPr>
                      <w:rFonts w:hAnsi="宋体"/>
                      <w:bCs/>
                      <w:szCs w:val="21"/>
                    </w:rPr>
                  </w:pPr>
                  <w:r>
                    <w:rPr>
                      <w:rFonts w:hint="eastAsia" w:hAnsi="宋体"/>
                      <w:bCs/>
                      <w:szCs w:val="21"/>
                    </w:rPr>
                    <w:t>条</w:t>
                  </w:r>
                </w:p>
              </w:tc>
              <w:tc>
                <w:tcPr>
                  <w:tcW w:w="910" w:type="pct"/>
                  <w:vAlign w:val="center"/>
                </w:tcPr>
                <w:p>
                  <w:pPr>
                    <w:jc w:val="center"/>
                    <w:rPr>
                      <w:bCs/>
                      <w:szCs w:val="21"/>
                    </w:rPr>
                  </w:pPr>
                  <w:r>
                    <w:rPr>
                      <w:rFonts w:hint="eastAsia"/>
                      <w:bCs/>
                      <w:szCs w:val="21"/>
                    </w:rPr>
                    <w:t>1</w:t>
                  </w:r>
                </w:p>
              </w:tc>
              <w:tc>
                <w:tcPr>
                  <w:tcW w:w="822" w:type="pct"/>
                  <w:vAlign w:val="center"/>
                </w:tcPr>
                <w:p>
                  <w:pPr>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538" w:type="pct"/>
                  <w:vAlign w:val="center"/>
                </w:tcPr>
                <w:p>
                  <w:pPr>
                    <w:jc w:val="center"/>
                    <w:rPr>
                      <w:bCs/>
                      <w:szCs w:val="21"/>
                    </w:rPr>
                  </w:pPr>
                  <w:r>
                    <w:rPr>
                      <w:rFonts w:hint="eastAsia"/>
                      <w:bCs/>
                      <w:szCs w:val="21"/>
                    </w:rPr>
                    <w:t>5</w:t>
                  </w:r>
                </w:p>
              </w:tc>
              <w:tc>
                <w:tcPr>
                  <w:tcW w:w="1270" w:type="pct"/>
                  <w:vAlign w:val="center"/>
                </w:tcPr>
                <w:p>
                  <w:pPr>
                    <w:jc w:val="center"/>
                    <w:rPr>
                      <w:rFonts w:hAnsi="宋体"/>
                      <w:bCs/>
                      <w:szCs w:val="21"/>
                    </w:rPr>
                  </w:pPr>
                  <w:r>
                    <w:rPr>
                      <w:rFonts w:hint="eastAsia" w:hAnsi="宋体"/>
                      <w:bCs/>
                      <w:szCs w:val="21"/>
                    </w:rPr>
                    <w:t>磁选机</w:t>
                  </w:r>
                </w:p>
              </w:tc>
              <w:tc>
                <w:tcPr>
                  <w:tcW w:w="728" w:type="pct"/>
                  <w:vAlign w:val="center"/>
                </w:tcPr>
                <w:p>
                  <w:pPr>
                    <w:jc w:val="center"/>
                    <w:rPr>
                      <w:rFonts w:hAnsi="宋体"/>
                      <w:bCs/>
                      <w:szCs w:val="21"/>
                    </w:rPr>
                  </w:pPr>
                  <w:r>
                    <w:rPr>
                      <w:rFonts w:hint="eastAsia" w:hAnsi="宋体"/>
                      <w:bCs/>
                      <w:szCs w:val="21"/>
                    </w:rPr>
                    <w:t>/</w:t>
                  </w:r>
                </w:p>
              </w:tc>
              <w:tc>
                <w:tcPr>
                  <w:tcW w:w="728" w:type="pct"/>
                  <w:vAlign w:val="center"/>
                </w:tcPr>
                <w:p>
                  <w:pPr>
                    <w:jc w:val="center"/>
                    <w:rPr>
                      <w:rFonts w:hAnsi="宋体"/>
                      <w:bCs/>
                      <w:szCs w:val="21"/>
                    </w:rPr>
                  </w:pPr>
                  <w:r>
                    <w:rPr>
                      <w:rFonts w:hint="eastAsia" w:hAnsi="宋体"/>
                      <w:bCs/>
                      <w:szCs w:val="21"/>
                    </w:rPr>
                    <w:t>台</w:t>
                  </w:r>
                </w:p>
              </w:tc>
              <w:tc>
                <w:tcPr>
                  <w:tcW w:w="910" w:type="pct"/>
                  <w:vAlign w:val="center"/>
                </w:tcPr>
                <w:p>
                  <w:pPr>
                    <w:jc w:val="center"/>
                    <w:rPr>
                      <w:bCs/>
                      <w:szCs w:val="21"/>
                    </w:rPr>
                  </w:pPr>
                  <w:r>
                    <w:rPr>
                      <w:rFonts w:hint="eastAsia"/>
                      <w:bCs/>
                      <w:szCs w:val="21"/>
                    </w:rPr>
                    <w:t>1</w:t>
                  </w:r>
                </w:p>
              </w:tc>
              <w:tc>
                <w:tcPr>
                  <w:tcW w:w="822" w:type="pct"/>
                  <w:vAlign w:val="center"/>
                </w:tcPr>
                <w:p>
                  <w:pPr>
                    <w:jc w:val="center"/>
                    <w:rPr>
                      <w:bCs/>
                      <w:szCs w:val="21"/>
                    </w:rPr>
                  </w:pP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538" w:type="pct"/>
                  <w:vAlign w:val="center"/>
                </w:tcPr>
                <w:p>
                  <w:pPr>
                    <w:jc w:val="center"/>
                    <w:rPr>
                      <w:bCs/>
                      <w:szCs w:val="21"/>
                    </w:rPr>
                  </w:pPr>
                  <w:r>
                    <w:rPr>
                      <w:rFonts w:hint="eastAsia"/>
                      <w:bCs/>
                      <w:szCs w:val="21"/>
                    </w:rPr>
                    <w:t>6</w:t>
                  </w:r>
                </w:p>
              </w:tc>
              <w:tc>
                <w:tcPr>
                  <w:tcW w:w="1270" w:type="pct"/>
                  <w:vAlign w:val="center"/>
                </w:tcPr>
                <w:p>
                  <w:pPr>
                    <w:jc w:val="center"/>
                    <w:rPr>
                      <w:rFonts w:hAnsi="宋体"/>
                      <w:bCs/>
                      <w:szCs w:val="21"/>
                    </w:rPr>
                  </w:pPr>
                  <w:r>
                    <w:rPr>
                      <w:rFonts w:hint="eastAsia" w:hAnsi="宋体"/>
                      <w:bCs/>
                      <w:szCs w:val="21"/>
                    </w:rPr>
                    <w:t>抓机</w:t>
                  </w:r>
                </w:p>
              </w:tc>
              <w:tc>
                <w:tcPr>
                  <w:tcW w:w="728" w:type="pct"/>
                  <w:vAlign w:val="center"/>
                </w:tcPr>
                <w:p>
                  <w:pPr>
                    <w:jc w:val="center"/>
                    <w:rPr>
                      <w:rFonts w:hAnsi="宋体"/>
                      <w:bCs/>
                      <w:szCs w:val="21"/>
                    </w:rPr>
                  </w:pPr>
                  <w:r>
                    <w:rPr>
                      <w:rFonts w:hint="eastAsia" w:hAnsi="宋体"/>
                      <w:bCs/>
                      <w:szCs w:val="21"/>
                    </w:rPr>
                    <w:t>/</w:t>
                  </w:r>
                </w:p>
              </w:tc>
              <w:tc>
                <w:tcPr>
                  <w:tcW w:w="728" w:type="pct"/>
                  <w:vAlign w:val="center"/>
                </w:tcPr>
                <w:p>
                  <w:pPr>
                    <w:jc w:val="center"/>
                    <w:rPr>
                      <w:rFonts w:hAnsi="宋体"/>
                      <w:bCs/>
                      <w:szCs w:val="21"/>
                    </w:rPr>
                  </w:pPr>
                  <w:r>
                    <w:rPr>
                      <w:rFonts w:hint="eastAsia" w:hAnsi="宋体"/>
                      <w:bCs/>
                      <w:szCs w:val="21"/>
                    </w:rPr>
                    <w:t>台</w:t>
                  </w:r>
                </w:p>
              </w:tc>
              <w:tc>
                <w:tcPr>
                  <w:tcW w:w="910" w:type="pct"/>
                  <w:vAlign w:val="center"/>
                </w:tcPr>
                <w:p>
                  <w:pPr>
                    <w:jc w:val="center"/>
                    <w:rPr>
                      <w:bCs/>
                      <w:szCs w:val="21"/>
                    </w:rPr>
                  </w:pPr>
                  <w:r>
                    <w:rPr>
                      <w:rFonts w:hint="eastAsia"/>
                      <w:bCs/>
                      <w:szCs w:val="21"/>
                    </w:rPr>
                    <w:t>1</w:t>
                  </w:r>
                </w:p>
              </w:tc>
              <w:tc>
                <w:tcPr>
                  <w:tcW w:w="822" w:type="pct"/>
                  <w:vAlign w:val="center"/>
                </w:tcPr>
                <w:p>
                  <w:pPr>
                    <w:jc w:val="center"/>
                    <w:rPr>
                      <w:bCs/>
                      <w:szCs w:val="21"/>
                    </w:rPr>
                  </w:pPr>
                  <w:r>
                    <w:rPr>
                      <w:rFonts w:hint="eastAsia"/>
                      <w:bCs/>
                      <w:szCs w:val="21"/>
                    </w:rPr>
                    <w:t>/</w:t>
                  </w:r>
                </w:p>
              </w:tc>
            </w:tr>
          </w:tbl>
          <w:p>
            <w:pPr>
              <w:keepNext/>
              <w:keepLines/>
              <w:spacing w:before="120" w:beforeLines="50" w:after="120" w:afterLines="50" w:line="520" w:lineRule="exact"/>
              <w:outlineLvl w:val="1"/>
              <w:rPr>
                <w:rFonts w:eastAsia="黑体"/>
                <w:bCs/>
                <w:kern w:val="0"/>
                <w:sz w:val="28"/>
                <w:szCs w:val="32"/>
              </w:rPr>
            </w:pPr>
            <w:r>
              <w:rPr>
                <w:rFonts w:hint="eastAsia"/>
                <w:b/>
                <w:color w:val="000000"/>
                <w:sz w:val="24"/>
              </w:rPr>
              <w:t>3</w:t>
            </w:r>
            <w:r>
              <w:rPr>
                <w:rFonts w:hint="eastAsia"/>
                <w:b/>
                <w:color w:val="000000"/>
                <w:sz w:val="24"/>
                <w:lang w:val="zh-CN"/>
              </w:rPr>
              <w:t>、</w:t>
            </w:r>
            <w:r>
              <w:rPr>
                <w:rFonts w:hint="eastAsia"/>
                <w:b/>
                <w:color w:val="000000"/>
                <w:sz w:val="24"/>
              </w:rPr>
              <w:t>原辅材料及能源</w:t>
            </w:r>
          </w:p>
          <w:p>
            <w:pPr>
              <w:widowControl/>
              <w:spacing w:line="360" w:lineRule="auto"/>
              <w:ind w:firstLine="480" w:firstLineChars="200"/>
              <w:rPr>
                <w:kern w:val="0"/>
                <w:sz w:val="24"/>
              </w:rPr>
            </w:pPr>
            <w:r>
              <w:rPr>
                <w:rFonts w:hint="eastAsia" w:hAnsi="宋体"/>
                <w:kern w:val="0"/>
                <w:sz w:val="24"/>
              </w:rPr>
              <w:t>本项目运营期</w:t>
            </w:r>
            <w:r>
              <w:rPr>
                <w:rFonts w:hAnsi="宋体"/>
                <w:kern w:val="0"/>
                <w:sz w:val="24"/>
              </w:rPr>
              <w:t>原辅材料及能源消耗情况见</w:t>
            </w:r>
            <w:r>
              <w:rPr>
                <w:rFonts w:hint="eastAsia" w:hAnsi="宋体"/>
                <w:kern w:val="0"/>
                <w:sz w:val="24"/>
              </w:rPr>
              <w:t>下表</w:t>
            </w:r>
            <w:r>
              <w:rPr>
                <w:rFonts w:hint="eastAsia"/>
                <w:kern w:val="0"/>
                <w:sz w:val="24"/>
              </w:rPr>
              <w:t>。</w:t>
            </w:r>
          </w:p>
          <w:p>
            <w:pPr>
              <w:spacing w:line="520" w:lineRule="exact"/>
              <w:jc w:val="center"/>
              <w:rPr>
                <w:rFonts w:ascii="黑体" w:hAnsi="黑体" w:eastAsia="黑体" w:cs="黑体"/>
                <w:color w:val="000000"/>
                <w:sz w:val="24"/>
              </w:rPr>
            </w:pPr>
            <w:r>
              <w:rPr>
                <w:rFonts w:hint="eastAsia" w:ascii="黑体" w:hAnsi="黑体" w:eastAsia="黑体" w:cs="黑体"/>
                <w:color w:val="000000"/>
                <w:sz w:val="24"/>
                <w:lang w:val="zh-CN"/>
              </w:rPr>
              <w:t>表</w:t>
            </w:r>
            <w:r>
              <w:rPr>
                <w:rFonts w:hint="eastAsia" w:ascii="黑体" w:hAnsi="黑体" w:eastAsia="黑体" w:cs="黑体"/>
                <w:color w:val="000000"/>
                <w:sz w:val="24"/>
              </w:rPr>
              <w:t xml:space="preserve">2-3  </w:t>
            </w:r>
            <w:r>
              <w:rPr>
                <w:rFonts w:hint="eastAsia" w:ascii="黑体" w:hAnsi="黑体" w:eastAsia="黑体" w:cs="黑体"/>
                <w:color w:val="000000"/>
                <w:sz w:val="24"/>
                <w:lang w:val="zh-CN"/>
              </w:rPr>
              <w:t>原材料消耗及能源消耗</w:t>
            </w:r>
          </w:p>
          <w:tbl>
            <w:tblPr>
              <w:tblStyle w:val="19"/>
              <w:tblW w:w="0" w:type="auto"/>
              <w:jc w:val="center"/>
              <w:tblBorders>
                <w:top w:val="single" w:color="000040" w:sz="4" w:space="0"/>
                <w:left w:val="single" w:color="000040" w:sz="4" w:space="0"/>
                <w:bottom w:val="single" w:color="000040" w:sz="4" w:space="0"/>
                <w:right w:val="single" w:color="000040" w:sz="4" w:space="0"/>
                <w:insideH w:val="single" w:color="000040" w:sz="4" w:space="0"/>
                <w:insideV w:val="single" w:color="000040" w:sz="4" w:space="0"/>
              </w:tblBorders>
              <w:tblLayout w:type="autofit"/>
              <w:tblCellMar>
                <w:top w:w="0" w:type="dxa"/>
                <w:left w:w="108" w:type="dxa"/>
                <w:bottom w:w="0" w:type="dxa"/>
                <w:right w:w="108" w:type="dxa"/>
              </w:tblCellMar>
            </w:tblPr>
            <w:tblGrid>
              <w:gridCol w:w="638"/>
              <w:gridCol w:w="969"/>
              <w:gridCol w:w="937"/>
              <w:gridCol w:w="738"/>
              <w:gridCol w:w="4899"/>
            </w:tblGrid>
            <w:tr>
              <w:tblPrEx>
                <w:tblBorders>
                  <w:top w:val="single" w:color="000040" w:sz="4" w:space="0"/>
                  <w:left w:val="single" w:color="000040" w:sz="4" w:space="0"/>
                  <w:bottom w:val="single" w:color="000040" w:sz="4" w:space="0"/>
                  <w:right w:val="single" w:color="000040" w:sz="4" w:space="0"/>
                  <w:insideH w:val="single" w:color="000040" w:sz="4" w:space="0"/>
                  <w:insideV w:val="single" w:color="000040" w:sz="4" w:space="0"/>
                </w:tblBorders>
                <w:tblCellMar>
                  <w:top w:w="0" w:type="dxa"/>
                  <w:left w:w="108" w:type="dxa"/>
                  <w:bottom w:w="0" w:type="dxa"/>
                  <w:right w:w="108" w:type="dxa"/>
                </w:tblCellMar>
              </w:tblPrEx>
              <w:trPr>
                <w:trHeight w:val="406" w:hRule="atLeast"/>
                <w:jc w:val="center"/>
              </w:trPr>
              <w:tc>
                <w:tcPr>
                  <w:tcW w:w="638" w:type="dxa"/>
                  <w:vAlign w:val="center"/>
                </w:tcPr>
                <w:p>
                  <w:pPr>
                    <w:spacing w:line="360" w:lineRule="exact"/>
                    <w:jc w:val="center"/>
                    <w:rPr>
                      <w:bCs/>
                      <w:szCs w:val="21"/>
                    </w:rPr>
                  </w:pPr>
                  <w:r>
                    <w:rPr>
                      <w:rFonts w:hint="eastAsia"/>
                      <w:bCs/>
                      <w:szCs w:val="21"/>
                    </w:rPr>
                    <w:t>序号</w:t>
                  </w:r>
                </w:p>
              </w:tc>
              <w:tc>
                <w:tcPr>
                  <w:tcW w:w="969" w:type="dxa"/>
                  <w:vAlign w:val="center"/>
                </w:tcPr>
                <w:p>
                  <w:pPr>
                    <w:spacing w:line="360" w:lineRule="exact"/>
                    <w:jc w:val="center"/>
                    <w:rPr>
                      <w:bCs/>
                      <w:szCs w:val="21"/>
                    </w:rPr>
                  </w:pPr>
                  <w:r>
                    <w:rPr>
                      <w:rFonts w:hint="eastAsia"/>
                      <w:bCs/>
                      <w:szCs w:val="21"/>
                    </w:rPr>
                    <w:t>名  称</w:t>
                  </w:r>
                </w:p>
              </w:tc>
              <w:tc>
                <w:tcPr>
                  <w:tcW w:w="937" w:type="dxa"/>
                  <w:vAlign w:val="center"/>
                </w:tcPr>
                <w:p>
                  <w:pPr>
                    <w:spacing w:line="360" w:lineRule="exact"/>
                    <w:jc w:val="center"/>
                    <w:rPr>
                      <w:bCs/>
                      <w:szCs w:val="21"/>
                    </w:rPr>
                  </w:pPr>
                  <w:r>
                    <w:rPr>
                      <w:rFonts w:hint="eastAsia"/>
                      <w:bCs/>
                      <w:szCs w:val="21"/>
                    </w:rPr>
                    <w:t>单位</w:t>
                  </w:r>
                </w:p>
              </w:tc>
              <w:tc>
                <w:tcPr>
                  <w:tcW w:w="738" w:type="dxa"/>
                  <w:vAlign w:val="center"/>
                </w:tcPr>
                <w:p>
                  <w:pPr>
                    <w:spacing w:line="360" w:lineRule="exact"/>
                    <w:jc w:val="center"/>
                    <w:rPr>
                      <w:bCs/>
                      <w:szCs w:val="21"/>
                    </w:rPr>
                  </w:pPr>
                  <w:r>
                    <w:rPr>
                      <w:rFonts w:hint="eastAsia"/>
                      <w:bCs/>
                      <w:szCs w:val="21"/>
                    </w:rPr>
                    <w:t>数量</w:t>
                  </w:r>
                </w:p>
              </w:tc>
              <w:tc>
                <w:tcPr>
                  <w:tcW w:w="4899" w:type="dxa"/>
                  <w:vAlign w:val="center"/>
                </w:tcPr>
                <w:p>
                  <w:pPr>
                    <w:spacing w:line="360" w:lineRule="exact"/>
                    <w:jc w:val="center"/>
                    <w:rPr>
                      <w:bCs/>
                      <w:szCs w:val="21"/>
                    </w:rPr>
                  </w:pPr>
                  <w:r>
                    <w:rPr>
                      <w:rFonts w:hint="eastAsia"/>
                      <w:bCs/>
                      <w:szCs w:val="21"/>
                    </w:rPr>
                    <w:t>理化性质/用途</w:t>
                  </w:r>
                </w:p>
              </w:tc>
            </w:tr>
            <w:tr>
              <w:tblPrEx>
                <w:tblBorders>
                  <w:top w:val="single" w:color="000040" w:sz="4" w:space="0"/>
                  <w:left w:val="single" w:color="000040" w:sz="4" w:space="0"/>
                  <w:bottom w:val="single" w:color="000040" w:sz="4" w:space="0"/>
                  <w:right w:val="single" w:color="000040" w:sz="4" w:space="0"/>
                  <w:insideH w:val="single" w:color="000040" w:sz="4" w:space="0"/>
                  <w:insideV w:val="single" w:color="000040" w:sz="4" w:space="0"/>
                </w:tblBorders>
                <w:tblCellMar>
                  <w:top w:w="0" w:type="dxa"/>
                  <w:left w:w="108" w:type="dxa"/>
                  <w:bottom w:w="0" w:type="dxa"/>
                  <w:right w:w="108" w:type="dxa"/>
                </w:tblCellMar>
              </w:tblPrEx>
              <w:trPr>
                <w:trHeight w:val="85" w:hRule="atLeast"/>
                <w:jc w:val="center"/>
              </w:trPr>
              <w:tc>
                <w:tcPr>
                  <w:tcW w:w="638" w:type="dxa"/>
                  <w:tcBorders>
                    <w:bottom w:val="single" w:color="auto" w:sz="4" w:space="0"/>
                  </w:tcBorders>
                  <w:vAlign w:val="center"/>
                </w:tcPr>
                <w:p>
                  <w:pPr>
                    <w:jc w:val="center"/>
                    <w:rPr>
                      <w:bCs/>
                      <w:szCs w:val="21"/>
                    </w:rPr>
                  </w:pPr>
                  <w:r>
                    <w:rPr>
                      <w:bCs/>
                      <w:szCs w:val="21"/>
                    </w:rPr>
                    <w:t>1</w:t>
                  </w:r>
                </w:p>
              </w:tc>
              <w:tc>
                <w:tcPr>
                  <w:tcW w:w="969" w:type="dxa"/>
                  <w:tcBorders>
                    <w:bottom w:val="single" w:color="auto" w:sz="4" w:space="0"/>
                  </w:tcBorders>
                  <w:vAlign w:val="center"/>
                </w:tcPr>
                <w:p>
                  <w:pPr>
                    <w:jc w:val="center"/>
                    <w:rPr>
                      <w:rFonts w:hAnsi="宋体"/>
                      <w:bCs/>
                      <w:szCs w:val="21"/>
                    </w:rPr>
                  </w:pPr>
                  <w:r>
                    <w:rPr>
                      <w:rFonts w:hint="eastAsia" w:hAnsi="宋体"/>
                      <w:bCs/>
                      <w:szCs w:val="21"/>
                    </w:rPr>
                    <w:t>废钢（原料）</w:t>
                  </w:r>
                </w:p>
              </w:tc>
              <w:tc>
                <w:tcPr>
                  <w:tcW w:w="937" w:type="dxa"/>
                  <w:vAlign w:val="center"/>
                </w:tcPr>
                <w:p>
                  <w:pPr>
                    <w:jc w:val="center"/>
                    <w:rPr>
                      <w:rFonts w:hAnsi="宋体"/>
                      <w:bCs/>
                      <w:szCs w:val="21"/>
                    </w:rPr>
                  </w:pPr>
                  <w:r>
                    <w:rPr>
                      <w:rFonts w:hint="eastAsia" w:hAnsi="宋体"/>
                      <w:bCs/>
                      <w:szCs w:val="21"/>
                    </w:rPr>
                    <w:t>t/a</w:t>
                  </w:r>
                </w:p>
              </w:tc>
              <w:tc>
                <w:tcPr>
                  <w:tcW w:w="738" w:type="dxa"/>
                  <w:vAlign w:val="center"/>
                </w:tcPr>
                <w:p>
                  <w:pPr>
                    <w:jc w:val="center"/>
                    <w:rPr>
                      <w:rFonts w:hAnsi="宋体"/>
                      <w:bCs/>
                      <w:szCs w:val="21"/>
                    </w:rPr>
                  </w:pPr>
                  <w:r>
                    <w:rPr>
                      <w:rFonts w:hint="eastAsia" w:hAnsi="宋体"/>
                      <w:bCs/>
                      <w:szCs w:val="21"/>
                    </w:rPr>
                    <w:t>5000</w:t>
                  </w:r>
                </w:p>
              </w:tc>
              <w:tc>
                <w:tcPr>
                  <w:tcW w:w="4899" w:type="dxa"/>
                  <w:vAlign w:val="center"/>
                </w:tcPr>
                <w:p>
                  <w:pPr>
                    <w:jc w:val="center"/>
                    <w:rPr>
                      <w:rFonts w:hAnsi="宋体"/>
                      <w:bCs/>
                      <w:szCs w:val="21"/>
                    </w:rPr>
                  </w:pPr>
                  <w:r>
                    <w:rPr>
                      <w:rFonts w:hint="eastAsia" w:hAnsi="宋体"/>
                      <w:bCs/>
                      <w:szCs w:val="21"/>
                    </w:rPr>
                    <w:t>从废品回收站收购废旧钢铁，通过物理方式，破碎、磁选得到成品</w:t>
                  </w:r>
                </w:p>
              </w:tc>
            </w:tr>
            <w:tr>
              <w:tblPrEx>
                <w:tblBorders>
                  <w:top w:val="single" w:color="000040" w:sz="4" w:space="0"/>
                  <w:left w:val="single" w:color="000040" w:sz="4" w:space="0"/>
                  <w:bottom w:val="single" w:color="000040" w:sz="4" w:space="0"/>
                  <w:right w:val="single" w:color="000040" w:sz="4" w:space="0"/>
                  <w:insideH w:val="single" w:color="000040" w:sz="4" w:space="0"/>
                  <w:insideV w:val="single" w:color="000040" w:sz="4" w:space="0"/>
                </w:tblBorders>
                <w:tblCellMar>
                  <w:top w:w="0" w:type="dxa"/>
                  <w:left w:w="108" w:type="dxa"/>
                  <w:bottom w:w="0" w:type="dxa"/>
                  <w:right w:w="108" w:type="dxa"/>
                </w:tblCellMar>
              </w:tblPrEx>
              <w:trPr>
                <w:trHeight w:val="325" w:hRule="atLeast"/>
                <w:jc w:val="center"/>
              </w:trPr>
              <w:tc>
                <w:tcPr>
                  <w:tcW w:w="638" w:type="dxa"/>
                  <w:tcBorders>
                    <w:bottom w:val="single" w:color="auto" w:sz="4" w:space="0"/>
                  </w:tcBorders>
                  <w:vAlign w:val="center"/>
                </w:tcPr>
                <w:p>
                  <w:pPr>
                    <w:jc w:val="center"/>
                    <w:rPr>
                      <w:bCs/>
                      <w:szCs w:val="21"/>
                    </w:rPr>
                  </w:pPr>
                  <w:r>
                    <w:rPr>
                      <w:rFonts w:hint="eastAsia"/>
                      <w:bCs/>
                      <w:szCs w:val="21"/>
                    </w:rPr>
                    <w:t>2</w:t>
                  </w:r>
                </w:p>
              </w:tc>
              <w:tc>
                <w:tcPr>
                  <w:tcW w:w="969" w:type="dxa"/>
                  <w:tcBorders>
                    <w:bottom w:val="single" w:color="auto" w:sz="4" w:space="0"/>
                  </w:tcBorders>
                </w:tcPr>
                <w:p>
                  <w:pPr>
                    <w:jc w:val="center"/>
                    <w:rPr>
                      <w:rFonts w:hAnsi="宋体"/>
                      <w:bCs/>
                      <w:szCs w:val="21"/>
                    </w:rPr>
                  </w:pPr>
                  <w:r>
                    <w:rPr>
                      <w:rFonts w:hint="eastAsia" w:hAnsi="宋体"/>
                      <w:bCs/>
                      <w:szCs w:val="21"/>
                    </w:rPr>
                    <w:t>电</w:t>
                  </w:r>
                </w:p>
              </w:tc>
              <w:tc>
                <w:tcPr>
                  <w:tcW w:w="937" w:type="dxa"/>
                </w:tcPr>
                <w:p>
                  <w:pPr>
                    <w:jc w:val="center"/>
                    <w:rPr>
                      <w:rFonts w:hAnsi="宋体"/>
                      <w:bCs/>
                      <w:szCs w:val="21"/>
                    </w:rPr>
                  </w:pPr>
                  <w:r>
                    <w:rPr>
                      <w:rFonts w:hint="eastAsia" w:hAnsi="宋体"/>
                      <w:bCs/>
                      <w:szCs w:val="21"/>
                    </w:rPr>
                    <w:t>kW·h</w:t>
                  </w:r>
                </w:p>
              </w:tc>
              <w:tc>
                <w:tcPr>
                  <w:tcW w:w="738" w:type="dxa"/>
                </w:tcPr>
                <w:p>
                  <w:pPr>
                    <w:jc w:val="center"/>
                    <w:rPr>
                      <w:rFonts w:hAnsi="宋体"/>
                      <w:bCs/>
                      <w:szCs w:val="21"/>
                    </w:rPr>
                  </w:pPr>
                  <w:r>
                    <w:rPr>
                      <w:rFonts w:hint="eastAsia" w:hAnsi="宋体"/>
                      <w:bCs/>
                      <w:szCs w:val="21"/>
                    </w:rPr>
                    <w:t>2万</w:t>
                  </w:r>
                </w:p>
              </w:tc>
              <w:tc>
                <w:tcPr>
                  <w:tcW w:w="4899" w:type="dxa"/>
                </w:tcPr>
                <w:p>
                  <w:pPr>
                    <w:jc w:val="center"/>
                    <w:rPr>
                      <w:rFonts w:hAnsi="宋体"/>
                      <w:bCs/>
                      <w:szCs w:val="21"/>
                    </w:rPr>
                  </w:pPr>
                  <w:r>
                    <w:rPr>
                      <w:rFonts w:hint="eastAsia" w:hAnsi="宋体"/>
                      <w:bCs/>
                      <w:szCs w:val="21"/>
                    </w:rPr>
                    <w:t>/</w:t>
                  </w:r>
                </w:p>
              </w:tc>
            </w:tr>
            <w:tr>
              <w:tblPrEx>
                <w:tblBorders>
                  <w:top w:val="single" w:color="000040" w:sz="4" w:space="0"/>
                  <w:left w:val="single" w:color="000040" w:sz="4" w:space="0"/>
                  <w:bottom w:val="single" w:color="000040" w:sz="4" w:space="0"/>
                  <w:right w:val="single" w:color="000040" w:sz="4" w:space="0"/>
                  <w:insideH w:val="single" w:color="000040" w:sz="4" w:space="0"/>
                  <w:insideV w:val="single" w:color="000040" w:sz="4" w:space="0"/>
                </w:tblBorders>
                <w:tblCellMar>
                  <w:top w:w="0" w:type="dxa"/>
                  <w:left w:w="108" w:type="dxa"/>
                  <w:bottom w:w="0" w:type="dxa"/>
                  <w:right w:w="108" w:type="dxa"/>
                </w:tblCellMar>
              </w:tblPrEx>
              <w:trPr>
                <w:trHeight w:val="85" w:hRule="atLeast"/>
                <w:jc w:val="center"/>
              </w:trPr>
              <w:tc>
                <w:tcPr>
                  <w:tcW w:w="638" w:type="dxa"/>
                  <w:vAlign w:val="center"/>
                </w:tcPr>
                <w:p>
                  <w:pPr>
                    <w:jc w:val="center"/>
                    <w:rPr>
                      <w:bCs/>
                      <w:szCs w:val="21"/>
                    </w:rPr>
                  </w:pPr>
                  <w:r>
                    <w:rPr>
                      <w:rFonts w:hint="eastAsia"/>
                      <w:bCs/>
                      <w:szCs w:val="21"/>
                    </w:rPr>
                    <w:t>3</w:t>
                  </w:r>
                </w:p>
              </w:tc>
              <w:tc>
                <w:tcPr>
                  <w:tcW w:w="969" w:type="dxa"/>
                </w:tcPr>
                <w:p>
                  <w:pPr>
                    <w:jc w:val="center"/>
                    <w:rPr>
                      <w:rFonts w:hAnsi="宋体"/>
                      <w:bCs/>
                      <w:szCs w:val="21"/>
                    </w:rPr>
                  </w:pPr>
                  <w:r>
                    <w:rPr>
                      <w:rFonts w:hint="eastAsia" w:hAnsi="宋体"/>
                      <w:bCs/>
                      <w:szCs w:val="21"/>
                    </w:rPr>
                    <w:t>水</w:t>
                  </w:r>
                </w:p>
              </w:tc>
              <w:tc>
                <w:tcPr>
                  <w:tcW w:w="937" w:type="dxa"/>
                </w:tcPr>
                <w:p>
                  <w:pPr>
                    <w:jc w:val="center"/>
                    <w:rPr>
                      <w:rFonts w:hAnsi="宋体"/>
                      <w:bCs/>
                      <w:szCs w:val="21"/>
                    </w:rPr>
                  </w:pPr>
                  <w:r>
                    <w:rPr>
                      <w:rFonts w:hint="eastAsia" w:hAnsi="宋体"/>
                      <w:bCs/>
                      <w:szCs w:val="21"/>
                    </w:rPr>
                    <w:t>t/a</w:t>
                  </w:r>
                </w:p>
              </w:tc>
              <w:tc>
                <w:tcPr>
                  <w:tcW w:w="738" w:type="dxa"/>
                </w:tcPr>
                <w:p>
                  <w:pPr>
                    <w:jc w:val="center"/>
                    <w:rPr>
                      <w:rFonts w:hAnsi="宋体"/>
                      <w:bCs/>
                      <w:szCs w:val="21"/>
                    </w:rPr>
                  </w:pPr>
                  <w:r>
                    <w:rPr>
                      <w:rFonts w:hint="eastAsia" w:hAnsi="宋体"/>
                      <w:bCs/>
                      <w:szCs w:val="21"/>
                    </w:rPr>
                    <w:t>180</w:t>
                  </w:r>
                </w:p>
              </w:tc>
              <w:tc>
                <w:tcPr>
                  <w:tcW w:w="4899" w:type="dxa"/>
                  <w:vAlign w:val="center"/>
                </w:tcPr>
                <w:p>
                  <w:pPr>
                    <w:jc w:val="center"/>
                    <w:rPr>
                      <w:rFonts w:hAnsi="宋体"/>
                      <w:bCs/>
                      <w:szCs w:val="21"/>
                    </w:rPr>
                  </w:pPr>
                  <w:r>
                    <w:rPr>
                      <w:rFonts w:hint="eastAsia" w:hAnsi="宋体"/>
                      <w:bCs/>
                      <w:szCs w:val="21"/>
                    </w:rPr>
                    <w:t>市政供水管网</w:t>
                  </w:r>
                </w:p>
              </w:tc>
            </w:tr>
          </w:tbl>
          <w:p>
            <w:pPr>
              <w:pStyle w:val="8"/>
              <w:spacing w:before="120" w:beforeLines="50" w:line="360" w:lineRule="auto"/>
              <w:rPr>
                <w:rFonts w:ascii="Times New Roman" w:hAnsi="宋体"/>
                <w:kern w:val="0"/>
                <w:sz w:val="24"/>
                <w:szCs w:val="24"/>
              </w:rPr>
            </w:pPr>
            <w:r>
              <w:rPr>
                <w:rFonts w:hint="eastAsia" w:ascii="Times New Roman" w:hAnsi="Times New Roman"/>
                <w:b/>
                <w:color w:val="000000"/>
                <w:sz w:val="24"/>
                <w:szCs w:val="24"/>
              </w:rPr>
              <w:t xml:space="preserve">  </w:t>
            </w:r>
            <w:r>
              <w:rPr>
                <w:rFonts w:hint="eastAsia" w:ascii="Times New Roman" w:hAnsi="Times New Roman"/>
                <w:b/>
                <w:color w:val="auto"/>
                <w:sz w:val="24"/>
                <w:szCs w:val="24"/>
              </w:rPr>
              <w:t xml:space="preserve"> </w:t>
            </w:r>
            <w:r>
              <w:rPr>
                <w:rFonts w:hint="eastAsia" w:ascii="Times New Roman" w:hAnsi="宋体"/>
                <w:color w:val="auto"/>
                <w:kern w:val="0"/>
                <w:sz w:val="24"/>
                <w:szCs w:val="24"/>
              </w:rPr>
              <w:t>废钢铁的主要来源：机械加工边角料、废钢筋、废铁皮以及施工工地产生的废弃彩钢板和废钢板、废钢管、三角铁等。</w:t>
            </w:r>
          </w:p>
          <w:p>
            <w:pPr>
              <w:pStyle w:val="8"/>
              <w:spacing w:before="120" w:beforeLines="50" w:line="360" w:lineRule="auto"/>
              <w:rPr>
                <w:rFonts w:ascii="Times New Roman" w:hAnsi="宋体"/>
                <w:kern w:val="0"/>
                <w:sz w:val="24"/>
                <w:szCs w:val="24"/>
              </w:rPr>
            </w:pPr>
            <w:r>
              <w:rPr>
                <w:rFonts w:hint="eastAsia" w:ascii="Times New Roman" w:hAnsi="宋体"/>
                <w:kern w:val="0"/>
                <w:sz w:val="24"/>
                <w:szCs w:val="24"/>
              </w:rPr>
              <w:t xml:space="preserve">   项目限制贵金属、废电子电器产品、废电池、废汽车、废电机、废五金（铁除外）等的前端拆解工序原料进厂，也限制储存机油、油漆及其他液态物质的铁制容器进场；项目使用便携式辐射监测仪，对原料进行放射性检测，放射性异常原料禁止进场。</w:t>
            </w:r>
          </w:p>
          <w:p>
            <w:pPr>
              <w:pStyle w:val="8"/>
              <w:spacing w:before="120" w:beforeLines="50" w:line="360" w:lineRule="auto"/>
              <w:rPr>
                <w:rFonts w:ascii="Times New Roman" w:hAnsi="Times New Roman"/>
                <w:b/>
                <w:color w:val="000000"/>
                <w:sz w:val="24"/>
                <w:szCs w:val="24"/>
                <w:lang w:val="zh-CN"/>
              </w:rPr>
            </w:pPr>
            <w:r>
              <w:rPr>
                <w:rFonts w:hint="eastAsia" w:ascii="Times New Roman" w:hAnsi="Times New Roman"/>
                <w:b/>
                <w:color w:val="000000"/>
                <w:sz w:val="24"/>
                <w:szCs w:val="24"/>
              </w:rPr>
              <w:t>4</w:t>
            </w:r>
            <w:r>
              <w:rPr>
                <w:rFonts w:hint="eastAsia" w:ascii="Times New Roman" w:hAnsi="Times New Roman"/>
                <w:b/>
                <w:color w:val="000000"/>
                <w:sz w:val="24"/>
                <w:szCs w:val="24"/>
                <w:lang w:val="zh-CN"/>
              </w:rPr>
              <w:t>、</w:t>
            </w:r>
            <w:r>
              <w:rPr>
                <w:b/>
                <w:bCs/>
                <w:color w:val="000000"/>
                <w:sz w:val="24"/>
              </w:rPr>
              <w:t>项目产品方案及规模</w:t>
            </w:r>
          </w:p>
          <w:p>
            <w:pPr>
              <w:spacing w:line="360" w:lineRule="auto"/>
              <w:ind w:firstLine="480" w:firstLineChars="200"/>
              <w:rPr>
                <w:rFonts w:ascii="黑体" w:hAnsi="黑体" w:eastAsia="黑体" w:cs="黑体"/>
                <w:color w:val="000000"/>
                <w:sz w:val="24"/>
              </w:rPr>
            </w:pPr>
            <w:r>
              <w:rPr>
                <w:rFonts w:hint="eastAsia"/>
                <w:sz w:val="24"/>
              </w:rPr>
              <w:t>项目建成后年处理5000吨废铁，产品年产量见下表。</w:t>
            </w:r>
          </w:p>
          <w:p>
            <w:pPr>
              <w:spacing w:line="520" w:lineRule="exact"/>
              <w:jc w:val="center"/>
              <w:rPr>
                <w:rFonts w:eastAsia="黑体"/>
                <w:sz w:val="24"/>
              </w:rPr>
            </w:pPr>
            <w:r>
              <w:rPr>
                <w:rFonts w:hint="eastAsia" w:ascii="黑体" w:hAnsi="黑体" w:eastAsia="黑体" w:cs="黑体"/>
                <w:color w:val="000000"/>
                <w:sz w:val="24"/>
              </w:rPr>
              <w:t xml:space="preserve">表2-4   </w:t>
            </w:r>
            <w:r>
              <w:rPr>
                <w:rFonts w:ascii="黑体" w:hAnsi="黑体" w:eastAsia="黑体" w:cs="黑体"/>
                <w:color w:val="000000"/>
                <w:sz w:val="24"/>
              </w:rPr>
              <w:t>本项目</w:t>
            </w:r>
            <w:r>
              <w:rPr>
                <w:rFonts w:hint="eastAsia" w:ascii="黑体" w:hAnsi="黑体" w:eastAsia="黑体" w:cs="黑体"/>
                <w:color w:val="000000"/>
                <w:sz w:val="24"/>
              </w:rPr>
              <w:t>主要产品</w:t>
            </w:r>
            <w:r>
              <w:rPr>
                <w:rFonts w:ascii="黑体" w:hAnsi="黑体" w:eastAsia="黑体" w:cs="黑体"/>
                <w:color w:val="000000"/>
                <w:sz w:val="24"/>
              </w:rPr>
              <w:t>内容一览表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8"/>
              <w:gridCol w:w="2100"/>
              <w:gridCol w:w="870"/>
              <w:gridCol w:w="1653"/>
              <w:gridCol w:w="877"/>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blHeader/>
                <w:jc w:val="center"/>
              </w:trPr>
              <w:tc>
                <w:tcPr>
                  <w:tcW w:w="244" w:type="pct"/>
                  <w:vAlign w:val="center"/>
                </w:tcPr>
                <w:p>
                  <w:pPr>
                    <w:spacing w:line="360" w:lineRule="exact"/>
                    <w:jc w:val="center"/>
                    <w:rPr>
                      <w:bCs/>
                      <w:color w:val="000000"/>
                      <w:szCs w:val="21"/>
                    </w:rPr>
                  </w:pPr>
                  <w:r>
                    <w:rPr>
                      <w:bCs/>
                      <w:color w:val="000000"/>
                      <w:szCs w:val="21"/>
                    </w:rPr>
                    <w:t>序号</w:t>
                  </w:r>
                </w:p>
              </w:tc>
              <w:tc>
                <w:tcPr>
                  <w:tcW w:w="1226" w:type="pct"/>
                  <w:vAlign w:val="center"/>
                </w:tcPr>
                <w:p>
                  <w:pPr>
                    <w:spacing w:line="360" w:lineRule="exact"/>
                    <w:jc w:val="center"/>
                    <w:rPr>
                      <w:bCs/>
                      <w:color w:val="000000"/>
                      <w:szCs w:val="21"/>
                    </w:rPr>
                  </w:pPr>
                  <w:r>
                    <w:rPr>
                      <w:bCs/>
                      <w:color w:val="000000"/>
                      <w:szCs w:val="21"/>
                    </w:rPr>
                    <w:t>产品类别</w:t>
                  </w:r>
                </w:p>
              </w:tc>
              <w:tc>
                <w:tcPr>
                  <w:tcW w:w="508" w:type="pct"/>
                  <w:vAlign w:val="center"/>
                </w:tcPr>
                <w:p>
                  <w:pPr>
                    <w:spacing w:line="360" w:lineRule="exact"/>
                    <w:jc w:val="center"/>
                    <w:rPr>
                      <w:bCs/>
                      <w:color w:val="000000"/>
                      <w:szCs w:val="21"/>
                    </w:rPr>
                  </w:pPr>
                  <w:r>
                    <w:rPr>
                      <w:rFonts w:hint="eastAsia" w:hAnsi="宋体"/>
                      <w:bCs/>
                      <w:color w:val="000000"/>
                      <w:szCs w:val="21"/>
                    </w:rPr>
                    <w:t>设计生产能力</w:t>
                  </w:r>
                </w:p>
              </w:tc>
              <w:tc>
                <w:tcPr>
                  <w:tcW w:w="965" w:type="pct"/>
                  <w:vAlign w:val="center"/>
                </w:tcPr>
                <w:p>
                  <w:pPr>
                    <w:spacing w:line="360" w:lineRule="exact"/>
                    <w:jc w:val="center"/>
                    <w:rPr>
                      <w:bCs/>
                      <w:color w:val="000000"/>
                      <w:szCs w:val="21"/>
                    </w:rPr>
                  </w:pPr>
                  <w:r>
                    <w:rPr>
                      <w:bCs/>
                      <w:color w:val="000000"/>
                      <w:szCs w:val="21"/>
                    </w:rPr>
                    <w:t>单位</w:t>
                  </w:r>
                </w:p>
              </w:tc>
              <w:tc>
                <w:tcPr>
                  <w:tcW w:w="512" w:type="pct"/>
                  <w:vAlign w:val="center"/>
                </w:tcPr>
                <w:p>
                  <w:pPr>
                    <w:spacing w:line="360" w:lineRule="exact"/>
                    <w:jc w:val="center"/>
                    <w:rPr>
                      <w:rFonts w:hint="eastAsia" w:eastAsia="宋体"/>
                      <w:bCs/>
                      <w:color w:val="000000"/>
                      <w:szCs w:val="21"/>
                      <w:lang w:val="en-US" w:eastAsia="zh-CN"/>
                    </w:rPr>
                  </w:pPr>
                  <w:r>
                    <w:rPr>
                      <w:rFonts w:hint="eastAsia"/>
                      <w:bCs/>
                      <w:color w:val="000000"/>
                      <w:szCs w:val="21"/>
                      <w:lang w:val="en-US" w:eastAsia="zh-CN"/>
                    </w:rPr>
                    <w:t>规格</w:t>
                  </w:r>
                </w:p>
              </w:tc>
              <w:tc>
                <w:tcPr>
                  <w:tcW w:w="1542" w:type="pct"/>
                  <w:vAlign w:val="center"/>
                </w:tcPr>
                <w:p>
                  <w:pPr>
                    <w:spacing w:line="360" w:lineRule="exact"/>
                    <w:jc w:val="center"/>
                    <w:rPr>
                      <w:bCs/>
                      <w:color w:val="000000"/>
                      <w:szCs w:val="21"/>
                    </w:rPr>
                  </w:pPr>
                  <w:r>
                    <w:rPr>
                      <w:rFonts w:hint="eastAsia"/>
                      <w:bCs/>
                      <w:color w:val="00000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244" w:type="pct"/>
                  <w:vAlign w:val="center"/>
                </w:tcPr>
                <w:p>
                  <w:pPr>
                    <w:jc w:val="center"/>
                    <w:rPr>
                      <w:bCs/>
                      <w:color w:val="000000"/>
                      <w:szCs w:val="21"/>
                    </w:rPr>
                  </w:pPr>
                  <w:r>
                    <w:rPr>
                      <w:bCs/>
                      <w:color w:val="000000"/>
                      <w:szCs w:val="21"/>
                    </w:rPr>
                    <w:t>1</w:t>
                  </w:r>
                </w:p>
              </w:tc>
              <w:tc>
                <w:tcPr>
                  <w:tcW w:w="1226" w:type="pct"/>
                  <w:vAlign w:val="center"/>
                </w:tcPr>
                <w:p>
                  <w:pPr>
                    <w:jc w:val="center"/>
                    <w:rPr>
                      <w:bCs/>
                      <w:color w:val="000000"/>
                      <w:szCs w:val="21"/>
                    </w:rPr>
                  </w:pPr>
                  <w:r>
                    <w:rPr>
                      <w:rFonts w:hint="eastAsia"/>
                      <w:bCs/>
                      <w:color w:val="000000"/>
                      <w:szCs w:val="21"/>
                    </w:rPr>
                    <w:t>废铁（产品）</w:t>
                  </w:r>
                </w:p>
              </w:tc>
              <w:tc>
                <w:tcPr>
                  <w:tcW w:w="508" w:type="pct"/>
                  <w:vAlign w:val="center"/>
                </w:tcPr>
                <w:p>
                  <w:pPr>
                    <w:jc w:val="center"/>
                    <w:rPr>
                      <w:bCs/>
                      <w:color w:val="000000"/>
                      <w:szCs w:val="21"/>
                    </w:rPr>
                  </w:pPr>
                  <w:r>
                    <w:rPr>
                      <w:rFonts w:hint="eastAsia"/>
                      <w:bCs/>
                      <w:color w:val="000000"/>
                      <w:szCs w:val="21"/>
                    </w:rPr>
                    <w:t xml:space="preserve">4498 </w:t>
                  </w:r>
                </w:p>
              </w:tc>
              <w:tc>
                <w:tcPr>
                  <w:tcW w:w="965" w:type="pct"/>
                  <w:vAlign w:val="center"/>
                </w:tcPr>
                <w:p>
                  <w:pPr>
                    <w:jc w:val="center"/>
                    <w:rPr>
                      <w:bCs/>
                      <w:color w:val="000000"/>
                      <w:szCs w:val="21"/>
                    </w:rPr>
                  </w:pPr>
                  <w:r>
                    <w:rPr>
                      <w:bCs/>
                      <w:color w:val="000000"/>
                      <w:szCs w:val="21"/>
                    </w:rPr>
                    <w:t>t/a</w:t>
                  </w:r>
                </w:p>
              </w:tc>
              <w:tc>
                <w:tcPr>
                  <w:tcW w:w="512" w:type="pct"/>
                  <w:vAlign w:val="center"/>
                </w:tcPr>
                <w:p>
                  <w:pPr>
                    <w:jc w:val="center"/>
                    <w:rPr>
                      <w:rFonts w:hint="default" w:eastAsia="宋体"/>
                      <w:bCs/>
                      <w:color w:val="000000"/>
                      <w:szCs w:val="21"/>
                      <w:lang w:val="en-US" w:eastAsia="zh-CN"/>
                    </w:rPr>
                  </w:pPr>
                  <w:r>
                    <w:rPr>
                      <w:rFonts w:hint="eastAsia"/>
                      <w:bCs/>
                      <w:color w:val="000000"/>
                      <w:szCs w:val="21"/>
                      <w:lang w:val="en-US" w:eastAsia="zh-CN"/>
                    </w:rPr>
                    <w:t>吨块，整车外售</w:t>
                  </w:r>
                </w:p>
              </w:tc>
              <w:tc>
                <w:tcPr>
                  <w:tcW w:w="1542" w:type="pct"/>
                  <w:vAlign w:val="center"/>
                </w:tcPr>
                <w:p>
                  <w:pPr>
                    <w:jc w:val="center"/>
                    <w:rPr>
                      <w:bCs/>
                      <w:color w:val="000000"/>
                      <w:szCs w:val="21"/>
                    </w:rPr>
                  </w:pPr>
                  <w:r>
                    <w:rPr>
                      <w:rFonts w:hint="eastAsia"/>
                      <w:bCs/>
                      <w:color w:val="000000"/>
                      <w:szCs w:val="21"/>
                    </w:rPr>
                    <w:t>外售给钢铁回收冶炼企业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244" w:type="pct"/>
                  <w:vAlign w:val="center"/>
                </w:tcPr>
                <w:p>
                  <w:pPr>
                    <w:jc w:val="center"/>
                    <w:rPr>
                      <w:bCs/>
                      <w:color w:val="000000"/>
                      <w:szCs w:val="21"/>
                    </w:rPr>
                  </w:pPr>
                  <w:r>
                    <w:rPr>
                      <w:rFonts w:hint="eastAsia"/>
                      <w:bCs/>
                      <w:color w:val="000000"/>
                      <w:szCs w:val="21"/>
                    </w:rPr>
                    <w:t>2</w:t>
                  </w:r>
                </w:p>
              </w:tc>
              <w:tc>
                <w:tcPr>
                  <w:tcW w:w="1226" w:type="pct"/>
                  <w:vAlign w:val="center"/>
                </w:tcPr>
                <w:p>
                  <w:pPr>
                    <w:jc w:val="center"/>
                    <w:rPr>
                      <w:bCs/>
                      <w:color w:val="000000"/>
                      <w:szCs w:val="21"/>
                    </w:rPr>
                  </w:pPr>
                  <w:r>
                    <w:rPr>
                      <w:rFonts w:hint="eastAsia"/>
                      <w:bCs/>
                      <w:color w:val="000000"/>
                      <w:szCs w:val="21"/>
                    </w:rPr>
                    <w:t>磁选杂质（主要成分为废塑料）</w:t>
                  </w:r>
                </w:p>
              </w:tc>
              <w:tc>
                <w:tcPr>
                  <w:tcW w:w="508" w:type="pct"/>
                  <w:vAlign w:val="center"/>
                </w:tcPr>
                <w:p>
                  <w:pPr>
                    <w:jc w:val="center"/>
                    <w:rPr>
                      <w:bCs/>
                      <w:color w:val="000000"/>
                      <w:szCs w:val="21"/>
                    </w:rPr>
                  </w:pPr>
                  <w:r>
                    <w:rPr>
                      <w:rFonts w:hint="eastAsia"/>
                      <w:bCs/>
                      <w:color w:val="000000"/>
                      <w:szCs w:val="21"/>
                    </w:rPr>
                    <w:t>500</w:t>
                  </w:r>
                </w:p>
              </w:tc>
              <w:tc>
                <w:tcPr>
                  <w:tcW w:w="965" w:type="pct"/>
                  <w:vAlign w:val="center"/>
                </w:tcPr>
                <w:p>
                  <w:pPr>
                    <w:jc w:val="center"/>
                    <w:rPr>
                      <w:bCs/>
                      <w:color w:val="000000"/>
                      <w:szCs w:val="21"/>
                    </w:rPr>
                  </w:pPr>
                  <w:r>
                    <w:rPr>
                      <w:bCs/>
                      <w:color w:val="000000"/>
                      <w:szCs w:val="21"/>
                    </w:rPr>
                    <w:t>t/a</w:t>
                  </w:r>
                </w:p>
              </w:tc>
              <w:tc>
                <w:tcPr>
                  <w:tcW w:w="512" w:type="pct"/>
                  <w:vAlign w:val="center"/>
                </w:tcPr>
                <w:p>
                  <w:pPr>
                    <w:jc w:val="center"/>
                    <w:rPr>
                      <w:rFonts w:hint="default" w:eastAsia="宋体"/>
                      <w:bCs/>
                      <w:color w:val="000000"/>
                      <w:szCs w:val="21"/>
                      <w:lang w:val="en-US" w:eastAsia="zh-CN"/>
                    </w:rPr>
                  </w:pPr>
                  <w:r>
                    <w:rPr>
                      <w:rFonts w:hint="eastAsia"/>
                      <w:bCs/>
                      <w:color w:val="000000"/>
                      <w:szCs w:val="21"/>
                      <w:lang w:val="en-US" w:eastAsia="zh-CN"/>
                    </w:rPr>
                    <w:t>吨包外售</w:t>
                  </w:r>
                </w:p>
              </w:tc>
              <w:tc>
                <w:tcPr>
                  <w:tcW w:w="1542" w:type="pct"/>
                  <w:vAlign w:val="center"/>
                </w:tcPr>
                <w:p>
                  <w:pPr>
                    <w:jc w:val="center"/>
                    <w:rPr>
                      <w:bCs/>
                      <w:color w:val="000000"/>
                      <w:szCs w:val="21"/>
                    </w:rPr>
                  </w:pPr>
                  <w:r>
                    <w:rPr>
                      <w:rFonts w:hint="eastAsia"/>
                      <w:bCs/>
                      <w:color w:val="000000"/>
                      <w:szCs w:val="21"/>
                    </w:rPr>
                    <w:t>外售给塑料回收企业</w:t>
                  </w:r>
                </w:p>
              </w:tc>
            </w:tr>
          </w:tbl>
          <w:p>
            <w:pPr>
              <w:pStyle w:val="8"/>
              <w:spacing w:line="520" w:lineRule="exact"/>
              <w:rPr>
                <w:rFonts w:ascii="Times New Roman" w:hAnsi="Times New Roman"/>
                <w:b/>
                <w:sz w:val="24"/>
                <w:szCs w:val="24"/>
              </w:rPr>
            </w:pPr>
            <w:r>
              <w:rPr>
                <w:rFonts w:hint="eastAsia"/>
                <w:b/>
                <w:sz w:val="24"/>
                <w:lang w:val="zh-CN"/>
              </w:rPr>
              <w:t>5、</w:t>
            </w:r>
            <w:r>
              <w:rPr>
                <w:rFonts w:ascii="Times New Roman" w:hAnsi="Times New Roman"/>
                <w:b/>
                <w:sz w:val="24"/>
                <w:szCs w:val="24"/>
              </w:rPr>
              <w:t>营运期给排水情况</w:t>
            </w:r>
          </w:p>
          <w:p>
            <w:pPr>
              <w:spacing w:line="360" w:lineRule="auto"/>
              <w:ind w:firstLine="480" w:firstLineChars="200"/>
              <w:rPr>
                <w:bCs/>
                <w:color w:val="000000"/>
                <w:sz w:val="24"/>
              </w:rPr>
            </w:pPr>
            <w:r>
              <w:rPr>
                <w:bCs/>
                <w:color w:val="000000"/>
                <w:sz w:val="24"/>
              </w:rPr>
              <w:t>（1）给水</w:t>
            </w:r>
          </w:p>
          <w:p>
            <w:pPr>
              <w:spacing w:line="360" w:lineRule="auto"/>
              <w:ind w:firstLine="480" w:firstLineChars="200"/>
              <w:rPr>
                <w:color w:val="000000"/>
                <w:sz w:val="24"/>
              </w:rPr>
            </w:pPr>
            <w:r>
              <w:rPr>
                <w:rFonts w:hint="eastAsia"/>
                <w:color w:val="000000"/>
                <w:sz w:val="24"/>
              </w:rPr>
              <w:t>本工程</w:t>
            </w:r>
            <w:r>
              <w:rPr>
                <w:color w:val="000000"/>
                <w:sz w:val="24"/>
              </w:rPr>
              <w:t>用水主要为职工办公生活用水。</w:t>
            </w:r>
          </w:p>
          <w:p>
            <w:pPr>
              <w:spacing w:line="360" w:lineRule="auto"/>
              <w:ind w:firstLine="480" w:firstLineChars="200"/>
              <w:rPr>
                <w:sz w:val="24"/>
              </w:rPr>
            </w:pPr>
            <w:r>
              <w:rPr>
                <w:sz w:val="24"/>
              </w:rPr>
              <w:t>职工办公生活用水：</w:t>
            </w:r>
            <w:r>
              <w:rPr>
                <w:rFonts w:hint="eastAsia"/>
                <w:sz w:val="24"/>
              </w:rPr>
              <w:t>办公生活用水由市政供水管网提供，</w:t>
            </w:r>
            <w:r>
              <w:rPr>
                <w:sz w:val="24"/>
              </w:rPr>
              <w:t>本项目劳动定员</w:t>
            </w:r>
            <w:r>
              <w:rPr>
                <w:rFonts w:hint="eastAsia"/>
                <w:sz w:val="24"/>
              </w:rPr>
              <w:t>12</w:t>
            </w:r>
            <w:r>
              <w:rPr>
                <w:sz w:val="24"/>
              </w:rPr>
              <w:t>人，</w:t>
            </w:r>
            <w:r>
              <w:rPr>
                <w:rFonts w:hint="eastAsia"/>
                <w:sz w:val="24"/>
              </w:rPr>
              <w:t>每天工作8小时，年工作300天，</w:t>
            </w:r>
            <w:r>
              <w:rPr>
                <w:sz w:val="24"/>
              </w:rPr>
              <w:t>均不在厂内食宿。每人每天生活用水量按照</w:t>
            </w:r>
            <w:r>
              <w:rPr>
                <w:rFonts w:hint="eastAsia"/>
                <w:sz w:val="24"/>
                <w:lang w:val="en-US" w:eastAsia="zh-CN"/>
              </w:rPr>
              <w:t>100</w:t>
            </w:r>
            <w:r>
              <w:rPr>
                <w:sz w:val="24"/>
              </w:rPr>
              <w:t>L计，则职工办公生活用水量为</w:t>
            </w:r>
            <w:r>
              <w:rPr>
                <w:rFonts w:hint="eastAsia"/>
                <w:sz w:val="24"/>
                <w:lang w:val="en-US" w:eastAsia="zh-CN"/>
              </w:rPr>
              <w:t>1.2</w:t>
            </w:r>
            <w:r>
              <w:rPr>
                <w:sz w:val="24"/>
              </w:rPr>
              <w:t>m</w:t>
            </w:r>
            <w:r>
              <w:rPr>
                <w:sz w:val="24"/>
                <w:vertAlign w:val="superscript"/>
              </w:rPr>
              <w:t>3</w:t>
            </w:r>
            <w:r>
              <w:rPr>
                <w:sz w:val="24"/>
              </w:rPr>
              <w:t>/d、</w:t>
            </w:r>
            <w:r>
              <w:rPr>
                <w:rFonts w:hint="eastAsia"/>
                <w:sz w:val="24"/>
                <w:lang w:val="en-US" w:eastAsia="zh-CN"/>
              </w:rPr>
              <w:t>36</w:t>
            </w:r>
            <w:r>
              <w:rPr>
                <w:rFonts w:hint="eastAsia"/>
                <w:sz w:val="24"/>
              </w:rPr>
              <w:t>0</w:t>
            </w:r>
            <w:r>
              <w:rPr>
                <w:sz w:val="24"/>
              </w:rPr>
              <w:t>m</w:t>
            </w:r>
            <w:r>
              <w:rPr>
                <w:sz w:val="24"/>
                <w:vertAlign w:val="superscript"/>
              </w:rPr>
              <w:t>3</w:t>
            </w:r>
            <w:r>
              <w:rPr>
                <w:sz w:val="24"/>
              </w:rPr>
              <w:t>/a。生活污水产生系数取0.8，</w:t>
            </w:r>
            <w:r>
              <w:rPr>
                <w:rFonts w:hint="eastAsia"/>
                <w:sz w:val="24"/>
              </w:rPr>
              <w:t>则</w:t>
            </w:r>
            <w:r>
              <w:rPr>
                <w:sz w:val="24"/>
              </w:rPr>
              <w:t>生活污水</w:t>
            </w:r>
            <w:r>
              <w:rPr>
                <w:rFonts w:hint="eastAsia"/>
                <w:sz w:val="24"/>
              </w:rPr>
              <w:t>产生量为</w:t>
            </w:r>
            <w:r>
              <w:rPr>
                <w:rFonts w:hint="eastAsia"/>
                <w:sz w:val="24"/>
                <w:lang w:val="en-US" w:eastAsia="zh-CN"/>
              </w:rPr>
              <w:t>0.96</w:t>
            </w:r>
            <w:r>
              <w:rPr>
                <w:rFonts w:hint="eastAsia"/>
                <w:sz w:val="24"/>
              </w:rPr>
              <w:t>m</w:t>
            </w:r>
            <w:r>
              <w:rPr>
                <w:rFonts w:hint="eastAsia"/>
                <w:sz w:val="24"/>
                <w:vertAlign w:val="superscript"/>
              </w:rPr>
              <w:t>3</w:t>
            </w:r>
            <w:r>
              <w:rPr>
                <w:sz w:val="24"/>
              </w:rPr>
              <w:t>/d</w:t>
            </w:r>
            <w:r>
              <w:rPr>
                <w:rFonts w:hint="eastAsia"/>
                <w:sz w:val="24"/>
              </w:rPr>
              <w:t>（</w:t>
            </w:r>
            <w:r>
              <w:rPr>
                <w:rFonts w:hint="eastAsia"/>
                <w:sz w:val="24"/>
                <w:lang w:val="en-US" w:eastAsia="zh-CN"/>
              </w:rPr>
              <w:t>288</w:t>
            </w:r>
            <w:r>
              <w:rPr>
                <w:rFonts w:hint="eastAsia"/>
                <w:sz w:val="24"/>
              </w:rPr>
              <w:t>m</w:t>
            </w:r>
            <w:r>
              <w:rPr>
                <w:rFonts w:hint="eastAsia"/>
                <w:sz w:val="24"/>
                <w:vertAlign w:val="superscript"/>
              </w:rPr>
              <w:t>3</w:t>
            </w:r>
            <w:r>
              <w:rPr>
                <w:rFonts w:hint="eastAsia"/>
                <w:sz w:val="24"/>
              </w:rPr>
              <w:t>/a）</w:t>
            </w:r>
            <w:r>
              <w:rPr>
                <w:sz w:val="24"/>
              </w:rPr>
              <w:t>。生活污水</w:t>
            </w:r>
            <w:r>
              <w:rPr>
                <w:rFonts w:hint="eastAsia"/>
                <w:sz w:val="24"/>
              </w:rPr>
              <w:t>中</w:t>
            </w:r>
            <w:r>
              <w:rPr>
                <w:sz w:val="24"/>
              </w:rPr>
              <w:t>主要污染物</w:t>
            </w:r>
            <w:r>
              <w:rPr>
                <w:rFonts w:hint="eastAsia"/>
                <w:sz w:val="24"/>
              </w:rPr>
              <w:t>为</w:t>
            </w:r>
            <w:r>
              <w:rPr>
                <w:sz w:val="24"/>
              </w:rPr>
              <w:t>COD、</w:t>
            </w:r>
            <w:r>
              <w:rPr>
                <w:rFonts w:hint="eastAsia"/>
                <w:sz w:val="24"/>
              </w:rPr>
              <w:t>NH</w:t>
            </w:r>
            <w:r>
              <w:rPr>
                <w:rFonts w:hint="eastAsia"/>
                <w:sz w:val="24"/>
                <w:vertAlign w:val="subscript"/>
              </w:rPr>
              <w:t>3</w:t>
            </w:r>
            <w:r>
              <w:rPr>
                <w:rFonts w:hint="eastAsia"/>
                <w:sz w:val="24"/>
              </w:rPr>
              <w:t>-N、SS</w:t>
            </w:r>
            <w:r>
              <w:rPr>
                <w:sz w:val="24"/>
              </w:rPr>
              <w:t>等</w:t>
            </w:r>
            <w:r>
              <w:rPr>
                <w:rFonts w:hint="eastAsia"/>
                <w:sz w:val="24"/>
              </w:rPr>
              <w:t>。</w:t>
            </w:r>
          </w:p>
          <w:p>
            <w:pPr>
              <w:spacing w:line="360" w:lineRule="auto"/>
              <w:ind w:firstLine="480" w:firstLineChars="200"/>
              <w:rPr>
                <w:bCs/>
                <w:color w:val="000000"/>
                <w:sz w:val="24"/>
              </w:rPr>
            </w:pPr>
            <w:r>
              <w:rPr>
                <w:bCs/>
                <w:color w:val="000000"/>
                <w:sz w:val="24"/>
              </w:rPr>
              <w:t>（2）排水</w:t>
            </w:r>
          </w:p>
          <w:p>
            <w:pPr>
              <w:spacing w:line="360" w:lineRule="auto"/>
              <w:ind w:firstLine="480" w:firstLineChars="200"/>
              <w:outlineLvl w:val="0"/>
              <w:rPr>
                <w:color w:val="000000"/>
                <w:sz w:val="24"/>
              </w:rPr>
            </w:pPr>
            <w:r>
              <w:rPr>
                <w:bCs/>
                <w:color w:val="000000"/>
                <w:sz w:val="24"/>
              </w:rPr>
              <w:t>本项目</w:t>
            </w:r>
            <w:r>
              <w:rPr>
                <w:rFonts w:hint="eastAsia"/>
                <w:bCs/>
                <w:color w:val="000000"/>
                <w:sz w:val="24"/>
              </w:rPr>
              <w:t>生产不需用水，无生产废水产生；项目</w:t>
            </w:r>
            <w:r>
              <w:rPr>
                <w:bCs/>
                <w:color w:val="000000"/>
                <w:sz w:val="24"/>
              </w:rPr>
              <w:t>产生的废水主要为职工办公生活废水，排放量为</w:t>
            </w:r>
            <w:r>
              <w:rPr>
                <w:rFonts w:hint="eastAsia"/>
                <w:color w:val="000000"/>
                <w:sz w:val="24"/>
                <w:lang w:val="en-US" w:eastAsia="zh-CN"/>
              </w:rPr>
              <w:t>0.96</w:t>
            </w:r>
            <w:r>
              <w:rPr>
                <w:color w:val="000000"/>
                <w:sz w:val="24"/>
              </w:rPr>
              <w:t>m</w:t>
            </w:r>
            <w:r>
              <w:rPr>
                <w:color w:val="000000"/>
                <w:sz w:val="24"/>
                <w:vertAlign w:val="superscript"/>
              </w:rPr>
              <w:t>3</w:t>
            </w:r>
            <w:r>
              <w:rPr>
                <w:color w:val="000000"/>
                <w:sz w:val="24"/>
              </w:rPr>
              <w:t>/d、</w:t>
            </w:r>
            <w:r>
              <w:rPr>
                <w:rFonts w:hint="eastAsia"/>
                <w:color w:val="000000"/>
                <w:sz w:val="24"/>
                <w:lang w:val="en-US" w:eastAsia="zh-CN"/>
              </w:rPr>
              <w:t>288</w:t>
            </w:r>
            <w:r>
              <w:rPr>
                <w:color w:val="000000"/>
                <w:sz w:val="24"/>
              </w:rPr>
              <w:t>m</w:t>
            </w:r>
            <w:r>
              <w:rPr>
                <w:color w:val="000000"/>
                <w:sz w:val="24"/>
                <w:vertAlign w:val="superscript"/>
              </w:rPr>
              <w:t>3</w:t>
            </w:r>
            <w:r>
              <w:rPr>
                <w:color w:val="000000"/>
                <w:sz w:val="24"/>
              </w:rPr>
              <w:t>/a。本项目水平衡见图</w:t>
            </w:r>
            <w:r>
              <w:rPr>
                <w:rFonts w:hint="eastAsia"/>
                <w:color w:val="000000"/>
                <w:sz w:val="24"/>
              </w:rPr>
              <w:t>2-</w:t>
            </w:r>
            <w:r>
              <w:rPr>
                <w:color w:val="000000"/>
                <w:sz w:val="24"/>
              </w:rPr>
              <w:t>1</w:t>
            </w:r>
            <w:r>
              <w:rPr>
                <w:rFonts w:hint="eastAsia"/>
                <w:color w:val="000000"/>
                <w:sz w:val="24"/>
              </w:rPr>
              <w:t>，</w:t>
            </w:r>
            <w:r>
              <w:rPr>
                <w:color w:val="000000"/>
                <w:sz w:val="24"/>
              </w:rPr>
              <w:t>本项目给排水情况见表</w:t>
            </w:r>
            <w:r>
              <w:rPr>
                <w:rFonts w:hint="eastAsia"/>
                <w:color w:val="000000"/>
                <w:sz w:val="24"/>
              </w:rPr>
              <w:t>2-5</w:t>
            </w:r>
            <w:r>
              <w:rPr>
                <w:color w:val="000000"/>
                <w:sz w:val="24"/>
              </w:rPr>
              <w:t>。</w:t>
            </w:r>
          </w:p>
          <w:p>
            <w:pPr>
              <w:tabs>
                <w:tab w:val="left" w:pos="1080"/>
                <w:tab w:val="left" w:pos="2700"/>
                <w:tab w:val="left" w:pos="3780"/>
              </w:tabs>
              <w:jc w:val="center"/>
              <w:rPr>
                <w:rFonts w:eastAsia="黑体"/>
                <w:color w:val="000000"/>
                <w:sz w:val="24"/>
              </w:rPr>
            </w:pPr>
            <w:r>
              <w:rPr>
                <w:rFonts w:eastAsia="黑体"/>
                <w:color w:val="000000"/>
                <w:sz w:val="24"/>
              </w:rPr>
              <w:t>表</w:t>
            </w:r>
            <w:r>
              <w:rPr>
                <w:rFonts w:hint="eastAsia" w:eastAsia="黑体"/>
                <w:color w:val="000000"/>
                <w:sz w:val="24"/>
              </w:rPr>
              <w:t>2-5</w:t>
            </w:r>
            <w:r>
              <w:rPr>
                <w:rFonts w:eastAsia="黑体"/>
                <w:color w:val="000000"/>
                <w:sz w:val="24"/>
              </w:rPr>
              <w:t xml:space="preserve">  本项目用排水情况</w:t>
            </w:r>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99"/>
              <w:gridCol w:w="3694"/>
              <w:gridCol w:w="1805"/>
              <w:gridCol w:w="18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793" w:type="dxa"/>
                  <w:gridSpan w:val="2"/>
                  <w:vMerge w:val="restart"/>
                  <w:vAlign w:val="center"/>
                </w:tcPr>
                <w:p>
                  <w:pPr>
                    <w:jc w:val="center"/>
                    <w:rPr>
                      <w:b/>
                      <w:color w:val="000000"/>
                      <w:szCs w:val="21"/>
                    </w:rPr>
                  </w:pPr>
                  <w:r>
                    <w:rPr>
                      <w:b/>
                      <w:bCs/>
                      <w:color w:val="000000"/>
                      <w:szCs w:val="21"/>
                    </w:rPr>
                    <w:t>类          别</w:t>
                  </w:r>
                </w:p>
              </w:tc>
              <w:tc>
                <w:tcPr>
                  <w:tcW w:w="3610" w:type="dxa"/>
                  <w:gridSpan w:val="2"/>
                  <w:vAlign w:val="center"/>
                </w:tcPr>
                <w:p>
                  <w:pPr>
                    <w:jc w:val="center"/>
                    <w:rPr>
                      <w:b/>
                      <w:color w:val="000000"/>
                      <w:szCs w:val="21"/>
                    </w:rPr>
                  </w:pPr>
                  <w:r>
                    <w:rPr>
                      <w:b/>
                      <w:color w:val="000000"/>
                      <w:szCs w:val="21"/>
                    </w:rPr>
                    <w:t>单    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793" w:type="dxa"/>
                  <w:gridSpan w:val="2"/>
                  <w:vMerge w:val="continue"/>
                  <w:vAlign w:val="center"/>
                </w:tcPr>
                <w:p>
                  <w:pPr>
                    <w:jc w:val="center"/>
                    <w:rPr>
                      <w:b/>
                      <w:color w:val="000000"/>
                      <w:szCs w:val="21"/>
                    </w:rPr>
                  </w:pPr>
                </w:p>
              </w:tc>
              <w:tc>
                <w:tcPr>
                  <w:tcW w:w="1805" w:type="dxa"/>
                  <w:vAlign w:val="center"/>
                </w:tcPr>
                <w:p>
                  <w:pPr>
                    <w:jc w:val="center"/>
                    <w:rPr>
                      <w:b/>
                      <w:color w:val="000000"/>
                      <w:szCs w:val="21"/>
                    </w:rPr>
                  </w:pPr>
                  <w:r>
                    <w:rPr>
                      <w:b/>
                      <w:color w:val="000000"/>
                      <w:szCs w:val="21"/>
                    </w:rPr>
                    <w:t>m</w:t>
                  </w:r>
                  <w:r>
                    <w:rPr>
                      <w:b/>
                      <w:color w:val="000000"/>
                      <w:szCs w:val="21"/>
                      <w:vertAlign w:val="superscript"/>
                    </w:rPr>
                    <w:t>3</w:t>
                  </w:r>
                  <w:r>
                    <w:rPr>
                      <w:b/>
                      <w:color w:val="000000"/>
                      <w:szCs w:val="21"/>
                    </w:rPr>
                    <w:t>/d</w:t>
                  </w:r>
                </w:p>
              </w:tc>
              <w:tc>
                <w:tcPr>
                  <w:tcW w:w="1805" w:type="dxa"/>
                  <w:vAlign w:val="center"/>
                </w:tcPr>
                <w:p>
                  <w:pPr>
                    <w:jc w:val="center"/>
                    <w:rPr>
                      <w:b/>
                      <w:color w:val="000000"/>
                      <w:szCs w:val="21"/>
                    </w:rPr>
                  </w:pPr>
                  <w:r>
                    <w:rPr>
                      <w:b/>
                      <w:color w:val="000000"/>
                      <w:szCs w:val="21"/>
                    </w:rPr>
                    <w:t>m</w:t>
                  </w:r>
                  <w:r>
                    <w:rPr>
                      <w:b/>
                      <w:color w:val="000000"/>
                      <w:szCs w:val="21"/>
                      <w:vertAlign w:val="superscript"/>
                    </w:rPr>
                    <w:t>3</w:t>
                  </w:r>
                  <w:r>
                    <w:rPr>
                      <w:b/>
                      <w:color w:val="000000"/>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9" w:type="dxa"/>
                  <w:vMerge w:val="restart"/>
                  <w:vAlign w:val="center"/>
                </w:tcPr>
                <w:p>
                  <w:pPr>
                    <w:jc w:val="center"/>
                    <w:rPr>
                      <w:color w:val="000000"/>
                      <w:szCs w:val="21"/>
                    </w:rPr>
                  </w:pPr>
                  <w:r>
                    <w:rPr>
                      <w:color w:val="000000"/>
                      <w:szCs w:val="21"/>
                    </w:rPr>
                    <w:t>用水</w:t>
                  </w:r>
                </w:p>
              </w:tc>
              <w:tc>
                <w:tcPr>
                  <w:tcW w:w="3694" w:type="dxa"/>
                  <w:vAlign w:val="center"/>
                </w:tcPr>
                <w:p>
                  <w:pPr>
                    <w:jc w:val="center"/>
                    <w:rPr>
                      <w:color w:val="000000"/>
                      <w:szCs w:val="21"/>
                    </w:rPr>
                  </w:pPr>
                  <w:r>
                    <w:rPr>
                      <w:color w:val="000000"/>
                      <w:szCs w:val="21"/>
                    </w:rPr>
                    <w:t>用水总量</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1.2</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9" w:type="dxa"/>
                  <w:vMerge w:val="continue"/>
                  <w:vAlign w:val="center"/>
                </w:tcPr>
                <w:p>
                  <w:pPr>
                    <w:jc w:val="center"/>
                    <w:rPr>
                      <w:color w:val="000000"/>
                      <w:szCs w:val="21"/>
                    </w:rPr>
                  </w:pPr>
                </w:p>
              </w:tc>
              <w:tc>
                <w:tcPr>
                  <w:tcW w:w="3694" w:type="dxa"/>
                  <w:vAlign w:val="center"/>
                </w:tcPr>
                <w:p>
                  <w:pPr>
                    <w:jc w:val="center"/>
                    <w:rPr>
                      <w:color w:val="000000"/>
                      <w:szCs w:val="21"/>
                    </w:rPr>
                  </w:pPr>
                  <w:r>
                    <w:rPr>
                      <w:color w:val="000000"/>
                      <w:szCs w:val="21"/>
                    </w:rPr>
                    <w:t>其中：职工办公生活用水</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1.2</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9" w:type="dxa"/>
                  <w:vMerge w:val="restart"/>
                  <w:vAlign w:val="center"/>
                </w:tcPr>
                <w:p>
                  <w:pPr>
                    <w:jc w:val="center"/>
                    <w:rPr>
                      <w:color w:val="000000"/>
                      <w:szCs w:val="21"/>
                    </w:rPr>
                  </w:pPr>
                  <w:r>
                    <w:rPr>
                      <w:color w:val="000000"/>
                      <w:szCs w:val="21"/>
                    </w:rPr>
                    <w:t>排水</w:t>
                  </w:r>
                </w:p>
              </w:tc>
              <w:tc>
                <w:tcPr>
                  <w:tcW w:w="3694" w:type="dxa"/>
                  <w:vAlign w:val="center"/>
                </w:tcPr>
                <w:p>
                  <w:pPr>
                    <w:jc w:val="center"/>
                    <w:rPr>
                      <w:color w:val="000000"/>
                      <w:szCs w:val="21"/>
                    </w:rPr>
                  </w:pPr>
                  <w:r>
                    <w:rPr>
                      <w:color w:val="000000"/>
                      <w:szCs w:val="21"/>
                    </w:rPr>
                    <w:t>排放水总量</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0.96</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288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9" w:type="dxa"/>
                  <w:vMerge w:val="continue"/>
                  <w:vAlign w:val="center"/>
                </w:tcPr>
                <w:p>
                  <w:pPr>
                    <w:jc w:val="center"/>
                    <w:rPr>
                      <w:color w:val="000000"/>
                      <w:szCs w:val="21"/>
                    </w:rPr>
                  </w:pPr>
                </w:p>
              </w:tc>
              <w:tc>
                <w:tcPr>
                  <w:tcW w:w="3694" w:type="dxa"/>
                  <w:vAlign w:val="center"/>
                </w:tcPr>
                <w:p>
                  <w:pPr>
                    <w:jc w:val="center"/>
                    <w:rPr>
                      <w:color w:val="000000"/>
                      <w:szCs w:val="21"/>
                    </w:rPr>
                  </w:pPr>
                  <w:r>
                    <w:rPr>
                      <w:color w:val="000000"/>
                      <w:szCs w:val="21"/>
                    </w:rPr>
                    <w:t>其中：职工办公生活废水</w:t>
                  </w:r>
                </w:p>
              </w:tc>
              <w:tc>
                <w:tcPr>
                  <w:tcW w:w="1805" w:type="dxa"/>
                  <w:vAlign w:val="center"/>
                </w:tcPr>
                <w:p>
                  <w:pPr>
                    <w:jc w:val="center"/>
                    <w:rPr>
                      <w:rFonts w:hint="default" w:eastAsia="宋体"/>
                      <w:color w:val="000000"/>
                      <w:szCs w:val="21"/>
                      <w:lang w:val="en-US" w:eastAsia="zh-CN"/>
                    </w:rPr>
                  </w:pPr>
                  <w:r>
                    <w:rPr>
                      <w:rFonts w:hint="eastAsia"/>
                      <w:color w:val="000000"/>
                      <w:szCs w:val="21"/>
                    </w:rPr>
                    <w:t>0</w:t>
                  </w:r>
                  <w:r>
                    <w:rPr>
                      <w:rFonts w:hint="eastAsia"/>
                      <w:color w:val="000000"/>
                      <w:szCs w:val="21"/>
                      <w:lang w:val="en-US" w:eastAsia="zh-CN"/>
                    </w:rPr>
                    <w:t>.96</w:t>
                  </w:r>
                </w:p>
              </w:tc>
              <w:tc>
                <w:tcPr>
                  <w:tcW w:w="1805" w:type="dxa"/>
                  <w:vAlign w:val="center"/>
                </w:tcPr>
                <w:p>
                  <w:pPr>
                    <w:jc w:val="center"/>
                    <w:rPr>
                      <w:rFonts w:hint="default" w:eastAsia="宋体"/>
                      <w:color w:val="000000"/>
                      <w:szCs w:val="21"/>
                      <w:lang w:val="en-US" w:eastAsia="zh-CN"/>
                    </w:rPr>
                  </w:pPr>
                  <w:r>
                    <w:rPr>
                      <w:rFonts w:hint="eastAsia"/>
                      <w:color w:val="000000"/>
                      <w:szCs w:val="21"/>
                      <w:lang w:val="en-US" w:eastAsia="zh-CN"/>
                    </w:rPr>
                    <w:t>288</w:t>
                  </w:r>
                </w:p>
              </w:tc>
            </w:tr>
          </w:tbl>
          <w:p>
            <w:pPr>
              <w:keepNext/>
              <w:keepLines/>
              <w:outlineLvl w:val="1"/>
              <w:rPr>
                <w:b/>
                <w:color w:val="000000"/>
                <w:sz w:val="24"/>
              </w:rPr>
            </w:pPr>
            <w:r>
              <w:rPr>
                <w:b/>
                <w:color w:val="000000"/>
                <w:sz w:val="24"/>
              </w:rPr>
              <mc:AlternateContent>
                <mc:Choice Requires="wpc">
                  <w:drawing>
                    <wp:inline distT="0" distB="0" distL="114300" distR="114300">
                      <wp:extent cx="5363845" cy="1617980"/>
                      <wp:effectExtent l="0" t="0" r="8255" b="0"/>
                      <wp:docPr id="15" name="画布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124"/>
                              <wps:cNvSpPr/>
                              <wps:spPr>
                                <a:xfrm>
                                  <a:off x="73660" y="38100"/>
                                  <a:ext cx="977900" cy="278765"/>
                                </a:xfrm>
                                <a:prstGeom prst="rect">
                                  <a:avLst/>
                                </a:prstGeom>
                                <a:noFill/>
                                <a:ln>
                                  <a:noFill/>
                                </a:ln>
                              </wps:spPr>
                              <wps:txbx>
                                <w:txbxContent>
                                  <w:p>
                                    <w:pPr>
                                      <w:rPr>
                                        <w:rFonts w:hint="default" w:eastAsia="宋体"/>
                                        <w:bCs/>
                                        <w:lang w:val="en-US" w:eastAsia="zh-CN"/>
                                      </w:rPr>
                                    </w:pPr>
                                    <w:r>
                                      <w:rPr>
                                        <w:bCs/>
                                      </w:rPr>
                                      <w:t>新鲜水</w:t>
                                    </w:r>
                                    <w:r>
                                      <w:rPr>
                                        <w:rFonts w:hint="eastAsia"/>
                                        <w:bCs/>
                                        <w:lang w:val="en-US" w:eastAsia="zh-CN"/>
                                      </w:rPr>
                                      <w:t>1.2</w:t>
                                    </w:r>
                                  </w:p>
                                </w:txbxContent>
                              </wps:txbx>
                              <wps:bodyPr vert="horz" wrap="square" anchor="t" anchorCtr="0" upright="1"/>
                            </wps:wsp>
                            <wps:wsp>
                              <wps:cNvPr id="2" name="Line 5113"/>
                              <wps:cNvCnPr/>
                              <wps:spPr>
                                <a:xfrm flipH="1">
                                  <a:off x="440690" y="236855"/>
                                  <a:ext cx="7620" cy="895350"/>
                                </a:xfrm>
                                <a:prstGeom prst="line">
                                  <a:avLst/>
                                </a:prstGeom>
                                <a:ln w="38100" cap="flat" cmpd="dbl">
                                  <a:solidFill>
                                    <a:srgbClr val="000000"/>
                                  </a:solidFill>
                                  <a:prstDash val="solid"/>
                                  <a:headEnd type="none" w="med" len="med"/>
                                  <a:tailEnd type="none" w="med" len="med"/>
                                </a:ln>
                              </wps:spPr>
                              <wps:bodyPr/>
                            </wps:wsp>
                            <wps:wsp>
                              <wps:cNvPr id="3" name="Line 5132"/>
                              <wps:cNvCnPr/>
                              <wps:spPr>
                                <a:xfrm>
                                  <a:off x="455295" y="563245"/>
                                  <a:ext cx="386715" cy="635"/>
                                </a:xfrm>
                                <a:prstGeom prst="line">
                                  <a:avLst/>
                                </a:prstGeom>
                                <a:ln w="38100" cap="flat" cmpd="dbl">
                                  <a:solidFill>
                                    <a:srgbClr val="000000"/>
                                  </a:solidFill>
                                  <a:prstDash val="solid"/>
                                  <a:headEnd type="none" w="med" len="med"/>
                                  <a:tailEnd type="triangle" w="sm" len="lg"/>
                                </a:ln>
                              </wps:spPr>
                              <wps:bodyPr/>
                            </wps:wsp>
                            <wps:wsp>
                              <wps:cNvPr id="4" name="Rectangle 5115"/>
                              <wps:cNvSpPr/>
                              <wps:spPr>
                                <a:xfrm>
                                  <a:off x="452755" y="316865"/>
                                  <a:ext cx="427355" cy="247015"/>
                                </a:xfrm>
                                <a:prstGeom prst="rect">
                                  <a:avLst/>
                                </a:prstGeom>
                                <a:noFill/>
                                <a:ln>
                                  <a:noFill/>
                                </a:ln>
                              </wps:spPr>
                              <wps:txbx>
                                <w:txbxContent>
                                  <w:p>
                                    <w:pPr>
                                      <w:rPr>
                                        <w:rFonts w:hint="default" w:eastAsia="宋体"/>
                                        <w:lang w:val="en-US" w:eastAsia="zh-CN"/>
                                      </w:rPr>
                                    </w:pPr>
                                    <w:r>
                                      <w:rPr>
                                        <w:rFonts w:hint="eastAsia"/>
                                        <w:lang w:val="en-US" w:eastAsia="zh-CN"/>
                                      </w:rPr>
                                      <w:t>1.2</w:t>
                                    </w:r>
                                  </w:p>
                                </w:txbxContent>
                              </wps:txbx>
                              <wps:bodyPr vert="horz" wrap="square" anchor="t" anchorCtr="0" upright="1"/>
                            </wps:wsp>
                            <wps:wsp>
                              <wps:cNvPr id="5" name="Rectangle 5114"/>
                              <wps:cNvSpPr/>
                              <wps:spPr>
                                <a:xfrm>
                                  <a:off x="842010" y="437515"/>
                                  <a:ext cx="1280160" cy="278765"/>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职工办公生活用水</w:t>
                                    </w:r>
                                  </w:p>
                                </w:txbxContent>
                              </wps:txbx>
                              <wps:bodyPr vert="horz" wrap="square" anchor="t" anchorCtr="0" upright="1"/>
                            </wps:wsp>
                            <wps:wsp>
                              <wps:cNvPr id="6" name="Line 5208"/>
                              <wps:cNvCnPr/>
                              <wps:spPr>
                                <a:xfrm flipV="1">
                                  <a:off x="1429385" y="265430"/>
                                  <a:ext cx="235585" cy="172085"/>
                                </a:xfrm>
                                <a:prstGeom prst="line">
                                  <a:avLst/>
                                </a:prstGeom>
                                <a:ln w="9525" cap="flat" cmpd="sng">
                                  <a:solidFill>
                                    <a:srgbClr val="000000"/>
                                  </a:solidFill>
                                  <a:prstDash val="lgDash"/>
                                  <a:headEnd type="none" w="med" len="med"/>
                                  <a:tailEnd type="triangle" w="sm" len="lg"/>
                                </a:ln>
                              </wps:spPr>
                              <wps:bodyPr/>
                            </wps:wsp>
                            <wps:wsp>
                              <wps:cNvPr id="7" name="Text Box 5210"/>
                              <wps:cNvSpPr txBox="1"/>
                              <wps:spPr>
                                <a:xfrm>
                                  <a:off x="1607820" y="38100"/>
                                  <a:ext cx="514350" cy="278765"/>
                                </a:xfrm>
                                <a:prstGeom prst="rect">
                                  <a:avLst/>
                                </a:prstGeom>
                                <a:solidFill>
                                  <a:srgbClr val="FFFFFF">
                                    <a:alpha val="0"/>
                                  </a:srgbClr>
                                </a:solidFill>
                                <a:ln>
                                  <a:noFill/>
                                </a:ln>
                              </wps:spPr>
                              <wps:txbx>
                                <w:txbxContent>
                                  <w:p>
                                    <w:pPr>
                                      <w:rPr>
                                        <w:rFonts w:hint="default" w:eastAsia="宋体"/>
                                        <w:lang w:val="en-US" w:eastAsia="zh-CN"/>
                                      </w:rPr>
                                    </w:pPr>
                                    <w:r>
                                      <w:rPr>
                                        <w:rFonts w:hint="eastAsia"/>
                                      </w:rPr>
                                      <w:t>0.</w:t>
                                    </w:r>
                                    <w:r>
                                      <w:rPr>
                                        <w:rFonts w:hint="eastAsia"/>
                                        <w:lang w:val="en-US" w:eastAsia="zh-CN"/>
                                      </w:rPr>
                                      <w:t>24</w:t>
                                    </w:r>
                                  </w:p>
                                </w:txbxContent>
                              </wps:txbx>
                              <wps:bodyPr vert="horz" wrap="square" anchor="t" anchorCtr="0" upright="1"/>
                            </wps:wsp>
                            <wps:wsp>
                              <wps:cNvPr id="8" name="Line 5136"/>
                              <wps:cNvCnPr/>
                              <wps:spPr>
                                <a:xfrm>
                                  <a:off x="2122170" y="579120"/>
                                  <a:ext cx="523875" cy="8255"/>
                                </a:xfrm>
                                <a:prstGeom prst="line">
                                  <a:avLst/>
                                </a:prstGeom>
                                <a:ln w="9525" cap="flat" cmpd="sng">
                                  <a:solidFill>
                                    <a:srgbClr val="000000"/>
                                  </a:solidFill>
                                  <a:prstDash val="solid"/>
                                  <a:headEnd type="none" w="med" len="med"/>
                                  <a:tailEnd type="triangle" w="sm" len="lg"/>
                                </a:ln>
                              </wps:spPr>
                              <wps:bodyPr/>
                            </wps:wsp>
                            <wps:wsp>
                              <wps:cNvPr id="9" name="矩形 1061"/>
                              <wps:cNvSpPr/>
                              <wps:spPr>
                                <a:xfrm>
                                  <a:off x="2646045" y="437515"/>
                                  <a:ext cx="899795" cy="278765"/>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化粪池</w:t>
                                    </w:r>
                                  </w:p>
                                </w:txbxContent>
                              </wps:txbx>
                              <wps:bodyPr vert="horz" wrap="square" anchor="t" anchorCtr="0" upright="1"/>
                            </wps:wsp>
                            <wps:wsp>
                              <wps:cNvPr id="10" name="直线 1060"/>
                              <wps:cNvCnPr/>
                              <wps:spPr>
                                <a:xfrm flipV="1">
                                  <a:off x="3545840" y="579120"/>
                                  <a:ext cx="367665" cy="635"/>
                                </a:xfrm>
                                <a:prstGeom prst="line">
                                  <a:avLst/>
                                </a:prstGeom>
                                <a:ln w="9525" cap="flat" cmpd="sng">
                                  <a:solidFill>
                                    <a:srgbClr val="000000"/>
                                  </a:solidFill>
                                  <a:prstDash val="solid"/>
                                  <a:headEnd type="none" w="med" len="med"/>
                                  <a:tailEnd type="triangle" w="sm" len="lg"/>
                                </a:ln>
                              </wps:spPr>
                              <wps:bodyPr/>
                            </wps:wsp>
                            <wps:wsp>
                              <wps:cNvPr id="11" name="Rectangle 5126"/>
                              <wps:cNvSpPr/>
                              <wps:spPr>
                                <a:xfrm>
                                  <a:off x="3913505" y="346075"/>
                                  <a:ext cx="1450340" cy="47879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淞江产业集聚区污水处理厂</w:t>
                                    </w:r>
                                  </w:p>
                                  <w:p>
                                    <w:pPr>
                                      <w:jc w:val="center"/>
                                    </w:pPr>
                                  </w:p>
                                </w:txbxContent>
                              </wps:txbx>
                              <wps:bodyPr vert="horz" wrap="square" anchor="t" anchorCtr="0" upright="1"/>
                            </wps:wsp>
                            <wps:wsp>
                              <wps:cNvPr id="12" name="Rectangle 5128"/>
                              <wps:cNvSpPr/>
                              <wps:spPr>
                                <a:xfrm>
                                  <a:off x="2122170" y="316865"/>
                                  <a:ext cx="573405" cy="299720"/>
                                </a:xfrm>
                                <a:prstGeom prst="rect">
                                  <a:avLst/>
                                </a:prstGeom>
                                <a:noFill/>
                                <a:ln>
                                  <a:noFill/>
                                </a:ln>
                              </wps:spPr>
                              <wps:txbx>
                                <w:txbxContent>
                                  <w:p>
                                    <w:pPr>
                                      <w:jc w:val="center"/>
                                      <w:rPr>
                                        <w:rFonts w:hint="default" w:eastAsia="宋体"/>
                                        <w:lang w:val="en-US" w:eastAsia="zh-CN"/>
                                      </w:rPr>
                                    </w:pPr>
                                    <w:r>
                                      <w:rPr>
                                        <w:rFonts w:hint="eastAsia"/>
                                      </w:rPr>
                                      <w:t>0.</w:t>
                                    </w:r>
                                    <w:r>
                                      <w:rPr>
                                        <w:rFonts w:hint="eastAsia"/>
                                        <w:lang w:val="en-US" w:eastAsia="zh-CN"/>
                                      </w:rPr>
                                      <w:t>96</w:t>
                                    </w:r>
                                  </w:p>
                                </w:txbxContent>
                              </wps:txbx>
                              <wps:bodyPr vert="horz" wrap="square" anchor="t" anchorCtr="0" upright="1"/>
                            </wps:wsp>
                            <wps:wsp>
                              <wps:cNvPr id="13" name="Rectangle 5129"/>
                              <wps:cNvSpPr/>
                              <wps:spPr>
                                <a:xfrm>
                                  <a:off x="3491230" y="316865"/>
                                  <a:ext cx="497205" cy="313690"/>
                                </a:xfrm>
                                <a:prstGeom prst="rect">
                                  <a:avLst/>
                                </a:prstGeom>
                                <a:noFill/>
                                <a:ln>
                                  <a:noFill/>
                                </a:ln>
                              </wps:spPr>
                              <wps:txbx>
                                <w:txbxContent>
                                  <w:p>
                                    <w:pPr>
                                      <w:rPr>
                                        <w:rFonts w:hint="default" w:eastAsia="宋体"/>
                                        <w:lang w:val="en-US" w:eastAsia="zh-CN"/>
                                      </w:rPr>
                                    </w:pPr>
                                    <w:r>
                                      <w:rPr>
                                        <w:rFonts w:hint="eastAsia"/>
                                      </w:rPr>
                                      <w:t>0.</w:t>
                                    </w:r>
                                    <w:r>
                                      <w:rPr>
                                        <w:rFonts w:hint="eastAsia"/>
                                        <w:lang w:val="en-US" w:eastAsia="zh-CN"/>
                                      </w:rPr>
                                      <w:t>96</w:t>
                                    </w:r>
                                  </w:p>
                                </w:txbxContent>
                              </wps:txbx>
                              <wps:bodyPr vert="horz" wrap="square" anchor="t" anchorCtr="0" upright="1"/>
                            </wps:wsp>
                            <wps:wsp>
                              <wps:cNvPr id="14" name="文本框 1063"/>
                              <wps:cNvSpPr txBox="1"/>
                              <wps:spPr>
                                <a:xfrm>
                                  <a:off x="1928495" y="889000"/>
                                  <a:ext cx="1274445" cy="278765"/>
                                </a:xfrm>
                                <a:prstGeom prst="rect">
                                  <a:avLst/>
                                </a:prstGeom>
                                <a:solidFill>
                                  <a:srgbClr val="FFFFFF">
                                    <a:alpha val="0"/>
                                  </a:srgbClr>
                                </a:solidFill>
                                <a:ln>
                                  <a:noFill/>
                                </a:ln>
                              </wps:spPr>
                              <wps:txbx>
                                <w:txbxContent>
                                  <w:p/>
                                </w:txbxContent>
                              </wps:txbx>
                              <wps:bodyPr vert="horz" wrap="square" anchor="t" anchorCtr="0" upright="1"/>
                            </wps:wsp>
                          </wpc:wpc>
                        </a:graphicData>
                      </a:graphic>
                    </wp:inline>
                  </w:drawing>
                </mc:Choice>
                <mc:Fallback>
                  <w:pict>
                    <v:group id="画布 33" o:spid="_x0000_s1026" o:spt="203" style="height:127.4pt;width:422.35pt;" coordsize="5363845,1617980" editas="canvas" o:gfxdata="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">
                      <o:lock v:ext="edit" aspectratio="f"/>
                      <v:shape id="画布 33" o:spid="_x0000_s1026" style="position:absolute;left:0;top:0;height:1617980;width:5363845;" filled="f" stroked="f" coordsize="21600,21600" o:gfxdata="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">
                        <v:fill on="f" focussize="0,0"/>
                        <v:stroke on="f"/>
                        <v:imagedata o:title=""/>
                        <o:lock v:ext="edit" aspectratio="t"/>
                      </v:shape>
                      <v:rect id="Rectangle 5124" o:spid="_x0000_s1026" o:spt="1" style="position:absolute;left:73660;top:38100;height:278765;width:977900;" filled="f" stroked="f" coordsize="21600,21600" o:gfxdata="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OTco1wAAAAUBAAAPAAAAAAAAAAEAIAAAACIAAABkcnMvZG93bnJldi54&#10;bWxQSwECFAAUAAAACACHTuJAFF08PcIBAACBAwAADgAAAAAAAAABACAAAAAmAQAAZHJzL2Uyb0Rv&#10;Yy54bWxQSwUGAAAAAAYABgBZAQAAWgUAAAAA&#10;">
                        <v:fill on="f" focussize="0,0"/>
                        <v:stroke on="f"/>
                        <v:imagedata o:title=""/>
                        <o:lock v:ext="edit" aspectratio="f"/>
                        <v:textbox>
                          <w:txbxContent>
                            <w:p>
                              <w:pPr>
                                <w:rPr>
                                  <w:rFonts w:hint="default" w:eastAsia="宋体"/>
                                  <w:bCs/>
                                  <w:lang w:val="en-US" w:eastAsia="zh-CN"/>
                                </w:rPr>
                              </w:pPr>
                              <w:r>
                                <w:rPr>
                                  <w:bCs/>
                                </w:rPr>
                                <w:t>新鲜水</w:t>
                              </w:r>
                              <w:r>
                                <w:rPr>
                                  <w:rFonts w:hint="eastAsia"/>
                                  <w:bCs/>
                                  <w:lang w:val="en-US" w:eastAsia="zh-CN"/>
                                </w:rPr>
                                <w:t>1.2</w:t>
                              </w:r>
                            </w:p>
                          </w:txbxContent>
                        </v:textbox>
                      </v:rect>
                      <v:line id="Line 5113" o:spid="_x0000_s1026" o:spt="20" style="position:absolute;left:440690;top:236855;flip:x;height:895350;width:7620;" filled="f" stroked="t" coordsize="21600,21600" o:gfxdata="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I44N0QAA&#10;AAUBAAAPAAAAAAAAAAEAIAAAACIAAABkcnMvZG93bnJldi54bWxQSwECFAAUAAAACACHTuJAVzpd&#10;rOwBAADnAwAADgAAAAAAAAABACAAAAAgAQAAZHJzL2Uyb0RvYy54bWxQSwUGAAAAAAYABgBZAQAA&#10;fgUAAAAA&#10;">
                        <v:fill on="f" focussize="0,0"/>
                        <v:stroke weight="3pt" color="#000000" linestyle="thinThin" joinstyle="round"/>
                        <v:imagedata o:title=""/>
                        <o:lock v:ext="edit" aspectratio="f"/>
                      </v:line>
                      <v:line id="Line 5132" o:spid="_x0000_s1026" o:spt="20" style="position:absolute;left:455295;top:563245;height:635;width:386715;" filled="f" stroked="t" coordsize="21600,21600" o:gfxdata="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O93g1QAAAAUBAAAPAAAAAAAAAAEAIAAAACIAAABkcnMvZG93bnJldi54bWxQSwECFAAUAAAACACH&#10;TuJAz+SJie4BAADeAwAADgAAAAAAAAABACAAAAAkAQAAZHJzL2Uyb0RvYy54bWxQSwUGAAAAAAYA&#10;BgBZAQAAhAUAAAAA&#10;">
                        <v:fill on="f" focussize="0,0"/>
                        <v:stroke weight="3pt" color="#000000" linestyle="thinThin" joinstyle="round" endarrow="block" endarrowwidth="narrow" endarrowlength="long"/>
                        <v:imagedata o:title=""/>
                        <o:lock v:ext="edit" aspectratio="f"/>
                      </v:line>
                      <v:rect id="Rectangle 5115" o:spid="_x0000_s1026" o:spt="1" style="position:absolute;left:452755;top:316865;height:247015;width:427355;" filled="f" stroked="f" coordsize="21600,21600" o:gfxdata="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jk3KNcAAAAFAQAADwAAAAAAAAABACAAAAAiAAAAZHJzL2Rvd25yZXYu&#10;eG1sUEsBAhQAFAAAAAgAh07iQC36IojDAQAAgwMAAA4AAAAAAAAAAQAgAAAAJgEAAGRycy9lMm9E&#10;b2MueG1sUEsFBgAAAAAGAAYAWQEAAFsFAAAAAA==&#10;">
                        <v:fill on="f" focussize="0,0"/>
                        <v:stroke on="f"/>
                        <v:imagedata o:title=""/>
                        <o:lock v:ext="edit" aspectratio="f"/>
                        <v:textbox>
                          <w:txbxContent>
                            <w:p>
                              <w:pPr>
                                <w:rPr>
                                  <w:rFonts w:hint="default" w:eastAsia="宋体"/>
                                  <w:lang w:val="en-US" w:eastAsia="zh-CN"/>
                                </w:rPr>
                              </w:pPr>
                              <w:r>
                                <w:rPr>
                                  <w:rFonts w:hint="eastAsia"/>
                                  <w:lang w:val="en-US" w:eastAsia="zh-CN"/>
                                </w:rPr>
                                <w:t>1.2</w:t>
                              </w:r>
                            </w:p>
                          </w:txbxContent>
                        </v:textbox>
                      </v:rect>
                      <v:rect id="Rectangle 5114" o:spid="_x0000_s1026" o:spt="1" style="position:absolute;left:842010;top:437515;height:278765;width:1280160;" filled="f" stroked="t" coordsize="21600,21600" o:gfxdata="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JLpFvVAAAABQEA&#10;AA8AAAAAAAAAAQAgAAAAIgAAAGRycy9kb3ducmV2LnhtbFBLAQIUABQAAAAIAIdO4kD7DDzdHQIA&#10;AEMEAAAOAAAAAAAAAAEAIAAAACQBAABkcnMvZTJvRG9jLnhtbFBLBQYAAAAABgAGAFkBAACzBQAA&#10;AAA=&#10;">
                        <v:fill on="f" focussize="0,0"/>
                        <v:stroke color="#000000" joinstyle="miter"/>
                        <v:imagedata o:title=""/>
                        <o:lock v:ext="edit" aspectratio="f"/>
                        <v:textbox>
                          <w:txbxContent>
                            <w:p>
                              <w:pPr>
                                <w:jc w:val="center"/>
                              </w:pPr>
                              <w:r>
                                <w:rPr>
                                  <w:rFonts w:hint="eastAsia"/>
                                </w:rPr>
                                <w:t>职工办公生活用水</w:t>
                              </w:r>
                            </w:p>
                          </w:txbxContent>
                        </v:textbox>
                      </v:rect>
                      <v:line id="Line 5208" o:spid="_x0000_s1026" o:spt="20" style="position:absolute;left:1429385;top:265430;flip:y;height:172085;width:235585;" filled="f" stroked="t" coordsize="21600,21600" o:gfxdata="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cIG0/VAAAABQEAAA8AAAAAAAAAAQAgAAAAIgAAAGRycy9kb3ducmV2LnhtbFBLAQIUABQA&#10;AAAIAIdO4kBGvZJl8wEAAOwDAAAOAAAAAAAAAAEAIAAAACQBAABkcnMvZTJvRG9jLnhtbFBLBQYA&#10;AAAABgAGAFkBAACJBQAAAAA=&#10;">
                        <v:fill on="f" focussize="0,0"/>
                        <v:stroke color="#000000" joinstyle="round" dashstyle="longDash" endarrow="block" endarrowwidth="narrow" endarrowlength="long"/>
                        <v:imagedata o:title=""/>
                        <o:lock v:ext="edit" aspectratio="f"/>
                      </v:line>
                      <v:shape id="Text Box 5210" o:spid="_x0000_s1026" o:spt="202" type="#_x0000_t202" style="position:absolute;left:1607820;top:38100;height:278765;width:514350;" fillcolor="#FFFFFF" filled="t" stroked="f" coordsize="21600,21600" o:gfxdata="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0rN1QAAAAUB&#10;AAAPAAAAAAAAAAEAIAAAACIAAABkcnMvZG93bnJldi54bWxQSwECFAAUAAAACACHTuJAgLoA/OUB&#10;AADSAwAADgAAAAAAAAABACAAAAAkAQAAZHJzL2Uyb0RvYy54bWxQSwUGAAAAAAYABgBZAQAAewUA&#10;AAAA&#10;">
                        <v:fill on="t" opacity="0f" focussize="0,0"/>
                        <v:stroke on="f"/>
                        <v:imagedata o:title=""/>
                        <o:lock v:ext="edit" aspectratio="f"/>
                        <v:textbox>
                          <w:txbxContent>
                            <w:p>
                              <w:pPr>
                                <w:rPr>
                                  <w:rFonts w:hint="default" w:eastAsia="宋体"/>
                                  <w:lang w:val="en-US" w:eastAsia="zh-CN"/>
                                </w:rPr>
                              </w:pPr>
                              <w:r>
                                <w:rPr>
                                  <w:rFonts w:hint="eastAsia"/>
                                </w:rPr>
                                <w:t>0.</w:t>
                              </w:r>
                              <w:r>
                                <w:rPr>
                                  <w:rFonts w:hint="eastAsia"/>
                                  <w:lang w:val="en-US" w:eastAsia="zh-CN"/>
                                </w:rPr>
                                <w:t>24</w:t>
                              </w:r>
                            </w:p>
                          </w:txbxContent>
                        </v:textbox>
                      </v:shape>
                      <v:line id="Line 5136" o:spid="_x0000_s1026" o:spt="20" style="position:absolute;left:2122170;top:579120;height:8255;width:523875;" filled="f" stroked="t" coordsize="21600,21600" o:gfxdata="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s2&#10;KknXAAAABQEAAA8AAAAAAAAAAQAgAAAAIgAAAGRycy9kb3ducmV2LnhtbFBLAQIUABQAAAAIAIdO&#10;4kBZO6E86wEAAN8DAAAOAAAAAAAAAAEAIAAAACYBAABkcnMvZTJvRG9jLnhtbFBLBQYAAAAABgAG&#10;AFkBAACDBQAAAAA=&#10;">
                        <v:fill on="f" focussize="0,0"/>
                        <v:stroke color="#000000" joinstyle="round" endarrow="block" endarrowwidth="narrow" endarrowlength="long"/>
                        <v:imagedata o:title=""/>
                        <o:lock v:ext="edit" aspectratio="f"/>
                      </v:line>
                      <v:rect id="矩形 1061" o:spid="_x0000_s1026" o:spt="1" style="position:absolute;left:2646045;top:437515;height:278765;width:899795;" filled="f" stroked="t" coordsize="21600,21600" o:gfxdata="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S6Rb1QAAAAUBAAAPAAAAAAAAAAEAIAAAACIAAABkcnMvZG93bnJldi54bWxQSwECFAAUAAAACACH&#10;TuJAj0sefycCAABABAAADgAAAAAAAAABACAAAAAkAQAAZHJzL2Uyb0RvYy54bWxQSwUGAAAAAAYA&#10;BgBZAQAAvQUAAAAA&#10;">
                        <v:fill on="f" focussize="0,0"/>
                        <v:stroke color="#000000" joinstyle="miter"/>
                        <v:imagedata o:title=""/>
                        <o:lock v:ext="edit" aspectratio="f"/>
                        <v:textbox>
                          <w:txbxContent>
                            <w:p>
                              <w:pPr>
                                <w:jc w:val="center"/>
                              </w:pPr>
                              <w:r>
                                <w:rPr>
                                  <w:rFonts w:hint="eastAsia"/>
                                </w:rPr>
                                <w:t>化粪池</w:t>
                              </w:r>
                            </w:p>
                          </w:txbxContent>
                        </v:textbox>
                      </v:rect>
                      <v:line id="直线 1060" o:spid="_x0000_s1026" o:spt="20" style="position:absolute;left:3545840;top:579120;flip:y;height:635;width:367665;" filled="f" stroked="t" coordsize="21600,21600" o:gfxdata="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QlpEDSAAAABQEAAA8AAAAAAAAAAQAgAAAAIgAAAGRycy9kb3ducmV2Lnht&#10;bFBLAQIUABQAAAAIAIdO4kBdzF6S/wEAAOsDAAAOAAAAAAAAAAEAIAAAACEBAABkcnMvZTJvRG9j&#10;LnhtbFBLBQYAAAAABgAGAFkBAACSBQAAAAA=&#10;">
                        <v:fill on="f" focussize="0,0"/>
                        <v:stroke color="#000000" joinstyle="round" endarrow="block" endarrowwidth="narrow" endarrowlength="long"/>
                        <v:imagedata o:title=""/>
                        <o:lock v:ext="edit" aspectratio="f"/>
                      </v:line>
                      <v:rect id="Rectangle 5126" o:spid="_x0000_s1026" o:spt="1" style="position:absolute;left:3913505;top:346075;height:478790;width:1450340;" filled="f" stroked="t" coordsize="21600,21600" o:gfxdata="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JLpFvVAAAA&#10;BQEAAA8AAAAAAAAAAQAgAAAAIgAAAGRycy9kb3ducmV2LnhtbFBLAQIUABQAAAAIAIdO4kBt0VS6&#10;IAIAAEUEAAAOAAAAAAAAAAEAIAAAACQBAABkcnMvZTJvRG9jLnhtbFBLBQYAAAAABgAGAFkBAAC2&#10;BQAAAAA=&#10;">
                        <v:fill on="f" focussize="0,0"/>
                        <v:stroke color="#000000" joinstyle="miter"/>
                        <v:imagedata o:title=""/>
                        <o:lock v:ext="edit" aspectratio="f"/>
                        <v:textbox>
                          <w:txbxContent>
                            <w:p>
                              <w:pPr>
                                <w:jc w:val="center"/>
                              </w:pPr>
                              <w:r>
                                <w:rPr>
                                  <w:rFonts w:hint="eastAsia"/>
                                </w:rPr>
                                <w:t>淞江产业集聚区污水处理厂</w:t>
                              </w:r>
                            </w:p>
                            <w:p>
                              <w:pPr>
                                <w:jc w:val="center"/>
                              </w:pPr>
                            </w:p>
                          </w:txbxContent>
                        </v:textbox>
                      </v:rect>
                      <v:rect id="Rectangle 5128" o:spid="_x0000_s1026" o:spt="1" style="position:absolute;left:2122170;top:316865;height:299720;width:573405;" filled="f" stroked="f" coordsize="21600,21600" o:gfxdata="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45NyjXAAAABQEAAA8AAAAAAAAAAQAgAAAAIgAAAGRycy9kb3du&#10;cmV2LnhtbFBLAQIUABQAAAAIAIdO4kC7+gNoxwEAAIUDAAAOAAAAAAAAAAEAIAAAACYBAABkcnMv&#10;ZTJvRG9jLnhtbFBLBQYAAAAABgAGAFkBAABfBQAAAAA=&#10;">
                        <v:fill on="f" focussize="0,0"/>
                        <v:stroke on="f"/>
                        <v:imagedata o:title=""/>
                        <o:lock v:ext="edit" aspectratio="f"/>
                        <v:textbox>
                          <w:txbxContent>
                            <w:p>
                              <w:pPr>
                                <w:jc w:val="center"/>
                                <w:rPr>
                                  <w:rFonts w:hint="default" w:eastAsia="宋体"/>
                                  <w:lang w:val="en-US" w:eastAsia="zh-CN"/>
                                </w:rPr>
                              </w:pPr>
                              <w:r>
                                <w:rPr>
                                  <w:rFonts w:hint="eastAsia"/>
                                </w:rPr>
                                <w:t>0.</w:t>
                              </w:r>
                              <w:r>
                                <w:rPr>
                                  <w:rFonts w:hint="eastAsia"/>
                                  <w:lang w:val="en-US" w:eastAsia="zh-CN"/>
                                </w:rPr>
                                <w:t>96</w:t>
                              </w:r>
                            </w:p>
                          </w:txbxContent>
                        </v:textbox>
                      </v:rect>
                      <v:rect id="Rectangle 5129" o:spid="_x0000_s1026" o:spt="1" style="position:absolute;left:3491230;top:316865;height:313690;width:497205;" filled="f" stroked="f" coordsize="21600,21600" o:gfxdata="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45NyjXAAAABQEAAA8AAAAAAAAAAQAgAAAAIgAAAGRycy9kb3ducmV2&#10;LnhtbFBLAQIUABQAAAAIAIdO4kAuGBkpxAEAAIUDAAAOAAAAAAAAAAEAIAAAACYBAABkcnMvZTJv&#10;RG9jLnhtbFBLBQYAAAAABgAGAFkBAABcBQAAAAA=&#10;">
                        <v:fill on="f" focussize="0,0"/>
                        <v:stroke on="f"/>
                        <v:imagedata o:title=""/>
                        <o:lock v:ext="edit" aspectratio="f"/>
                        <v:textbox>
                          <w:txbxContent>
                            <w:p>
                              <w:pPr>
                                <w:rPr>
                                  <w:rFonts w:hint="default" w:eastAsia="宋体"/>
                                  <w:lang w:val="en-US" w:eastAsia="zh-CN"/>
                                </w:rPr>
                              </w:pPr>
                              <w:r>
                                <w:rPr>
                                  <w:rFonts w:hint="eastAsia"/>
                                </w:rPr>
                                <w:t>0.</w:t>
                              </w:r>
                              <w:r>
                                <w:rPr>
                                  <w:rFonts w:hint="eastAsia"/>
                                  <w:lang w:val="en-US" w:eastAsia="zh-CN"/>
                                </w:rPr>
                                <w:t>96</w:t>
                              </w:r>
                            </w:p>
                          </w:txbxContent>
                        </v:textbox>
                      </v:rect>
                      <v:shape id="文本框 1063" o:spid="_x0000_s1026" o:spt="202" type="#_x0000_t202" style="position:absolute;left:1928495;top:889000;height:278765;width:1274445;" fillcolor="#FFFFFF" filled="t" stroked="f" coordsize="21600,21600" o:gfxdata="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tKzdUAAAAFAQAADwAAAAAAAAABACAAAAAiAAAAZHJzL2Rvd25yZXYueG1sUEsB&#10;AhQAFAAAAAgAh07iQNwZzkL4AQAA1gMAAA4AAAAAAAAAAQAgAAAAJAEAAGRycy9lMm9Eb2MueG1s&#10;UEsFBgAAAAAGAAYAWQEAAI4FAAAAAA==&#10;">
                        <v:fill on="t" opacity="0f" focussize="0,0"/>
                        <v:stroke on="f"/>
                        <v:imagedata o:title=""/>
                        <o:lock v:ext="edit" aspectratio="f"/>
                        <v:textbox>
                          <w:txbxContent>
                            <w:p/>
                          </w:txbxContent>
                        </v:textbox>
                      </v:shape>
                      <w10:wrap type="none"/>
                      <w10:anchorlock/>
                    </v:group>
                  </w:pict>
                </mc:Fallback>
              </mc:AlternateContent>
            </w:r>
          </w:p>
          <w:p>
            <w:pPr>
              <w:spacing w:line="520" w:lineRule="exact"/>
              <w:jc w:val="center"/>
              <w:rPr>
                <w:rFonts w:eastAsia="黑体"/>
                <w:color w:val="000000"/>
                <w:sz w:val="24"/>
              </w:rPr>
            </w:pPr>
            <w:r>
              <w:rPr>
                <w:rFonts w:eastAsia="黑体"/>
                <w:color w:val="000000"/>
                <w:sz w:val="24"/>
              </w:rPr>
              <w:t>图</w:t>
            </w:r>
            <w:r>
              <w:rPr>
                <w:rFonts w:hint="eastAsia" w:eastAsia="黑体"/>
                <w:color w:val="000000"/>
                <w:sz w:val="24"/>
              </w:rPr>
              <w:t>2-</w:t>
            </w:r>
            <w:r>
              <w:rPr>
                <w:rFonts w:eastAsia="黑体"/>
                <w:color w:val="000000"/>
                <w:sz w:val="24"/>
              </w:rPr>
              <w:t>1  项目水平衡图（单位：m</w:t>
            </w:r>
            <w:r>
              <w:rPr>
                <w:rFonts w:eastAsia="黑体"/>
                <w:color w:val="000000"/>
                <w:sz w:val="24"/>
                <w:vertAlign w:val="superscript"/>
              </w:rPr>
              <w:t>3</w:t>
            </w:r>
            <w:r>
              <w:rPr>
                <w:rFonts w:eastAsia="黑体"/>
                <w:color w:val="000000"/>
                <w:sz w:val="24"/>
              </w:rPr>
              <w:t>/d）</w:t>
            </w:r>
          </w:p>
          <w:p>
            <w:pPr>
              <w:pStyle w:val="8"/>
              <w:spacing w:line="520" w:lineRule="exact"/>
              <w:rPr>
                <w:rFonts w:ascii="Times New Roman" w:hAnsi="Times New Roman"/>
                <w:b/>
                <w:color w:val="000000"/>
                <w:sz w:val="24"/>
                <w:szCs w:val="24"/>
              </w:rPr>
            </w:pPr>
            <w:r>
              <w:rPr>
                <w:rFonts w:hint="eastAsia" w:ascii="Times New Roman" w:hAnsi="Times New Roman"/>
                <w:b/>
                <w:color w:val="000000"/>
                <w:sz w:val="24"/>
                <w:szCs w:val="24"/>
              </w:rPr>
              <w:t>6、劳动定员与工作制度</w:t>
            </w:r>
          </w:p>
          <w:p>
            <w:pPr>
              <w:spacing w:line="360" w:lineRule="auto"/>
              <w:ind w:firstLine="480" w:firstLineChars="200"/>
              <w:outlineLvl w:val="0"/>
              <w:rPr>
                <w:color w:val="000000"/>
                <w:sz w:val="24"/>
              </w:rPr>
            </w:pPr>
            <w:r>
              <w:rPr>
                <w:rFonts w:hint="eastAsia"/>
                <w:color w:val="000000"/>
                <w:sz w:val="24"/>
              </w:rPr>
              <w:t>项目劳动定员12人，均不在厂区食宿，实行每日单班制制度，每日一班，每班8小时，生产根据市场需求淡旺季分明，年总生产天数为300天。</w:t>
            </w:r>
          </w:p>
          <w:p>
            <w:pPr>
              <w:pStyle w:val="8"/>
              <w:spacing w:line="520" w:lineRule="exact"/>
              <w:rPr>
                <w:rFonts w:ascii="Times New Roman" w:hAnsi="Times New Roman"/>
                <w:b/>
                <w:color w:val="000000"/>
                <w:sz w:val="24"/>
                <w:szCs w:val="24"/>
              </w:rPr>
            </w:pPr>
            <w:r>
              <w:rPr>
                <w:rFonts w:hint="eastAsia" w:ascii="Times New Roman" w:hAnsi="Times New Roman"/>
                <w:b/>
                <w:color w:val="000000"/>
                <w:sz w:val="24"/>
                <w:szCs w:val="24"/>
              </w:rPr>
              <w:t>7、</w:t>
            </w:r>
            <w:r>
              <w:rPr>
                <w:rFonts w:ascii="Times New Roman" w:hAnsi="Times New Roman"/>
                <w:b/>
                <w:color w:val="000000"/>
                <w:sz w:val="24"/>
                <w:szCs w:val="24"/>
              </w:rPr>
              <w:t>选址可行性</w:t>
            </w:r>
            <w:r>
              <w:rPr>
                <w:rFonts w:hint="eastAsia" w:ascii="Times New Roman" w:hAnsi="Times New Roman"/>
                <w:b/>
                <w:color w:val="000000"/>
                <w:sz w:val="24"/>
                <w:szCs w:val="24"/>
              </w:rPr>
              <w:t>及平面布置合理性</w:t>
            </w:r>
            <w:r>
              <w:rPr>
                <w:rFonts w:ascii="Times New Roman" w:hAnsi="Times New Roman"/>
                <w:b/>
                <w:color w:val="000000"/>
                <w:sz w:val="24"/>
                <w:szCs w:val="24"/>
              </w:rPr>
              <w:t>分析</w:t>
            </w:r>
          </w:p>
          <w:p>
            <w:pPr>
              <w:spacing w:line="360" w:lineRule="auto"/>
              <w:ind w:firstLine="480" w:firstLineChars="200"/>
              <w:rPr>
                <w:color w:val="000000"/>
                <w:sz w:val="24"/>
              </w:rPr>
            </w:pPr>
            <w:r>
              <w:rPr>
                <w:rFonts w:hint="eastAsia"/>
                <w:sz w:val="24"/>
              </w:rPr>
              <w:t>本项目位于河南省漯河市郾城区纬十路中段漯河市中联再生资源有限公司院内</w:t>
            </w:r>
            <w:r>
              <w:rPr>
                <w:rFonts w:hint="eastAsia"/>
                <w:bCs/>
                <w:sz w:val="24"/>
              </w:rPr>
              <w:t>，项目本次建设利用现有厂房，依托现有公辅设施，</w:t>
            </w:r>
            <w:r>
              <w:rPr>
                <w:bCs/>
                <w:sz w:val="24"/>
              </w:rPr>
              <w:t>项目地理位置图见附图一，项目周边环境示意图见附图二，项目周边环境照片见附图四。</w:t>
            </w:r>
            <w:r>
              <w:rPr>
                <w:rFonts w:hint="eastAsia"/>
                <w:sz w:val="24"/>
              </w:rPr>
              <w:t>本项目位于漯河市郾城区孟庙镇纬十路，本项目符合孟庙镇整体规划；根据漯河市郾城区孟庙镇国土资源所出具的孟庙镇土地利用现状图，项目占地类型为建设用地。因此</w:t>
            </w:r>
            <w:r>
              <w:rPr>
                <w:bCs/>
                <w:sz w:val="24"/>
              </w:rPr>
              <w:t>本项目拟选厂址可行。</w:t>
            </w:r>
          </w:p>
          <w:p>
            <w:pPr>
              <w:spacing w:line="360" w:lineRule="auto"/>
              <w:ind w:firstLine="480" w:firstLineChars="200"/>
              <w:rPr>
                <w:bCs/>
                <w:sz w:val="24"/>
              </w:rPr>
            </w:pPr>
            <w:r>
              <w:rPr>
                <w:rFonts w:hint="eastAsia"/>
                <w:bCs/>
                <w:sz w:val="24"/>
              </w:rPr>
              <w:t>项目平面布置图见附三，本项目利用现有厂房，项目根据生产工序流程设置了平面布置，厂房西向东依次布置生产区和仓库。项目布置比较紧凑合理，缩短了物料的运输距离，节省了能耗，方便了管理。由上分析可知，该项目平面布置较为合理。</w:t>
            </w:r>
          </w:p>
          <w:p>
            <w:pPr>
              <w:spacing w:line="360" w:lineRule="auto"/>
              <w:ind w:firstLine="480" w:firstLineChars="200"/>
              <w:rPr>
                <w:bCs/>
                <w:color w:val="000000"/>
                <w:sz w:val="24"/>
              </w:rPr>
            </w:pPr>
            <w:r>
              <w:rPr>
                <w:rFonts w:hint="eastAsia"/>
                <w:bCs/>
                <w:color w:val="000000"/>
                <w:sz w:val="24"/>
              </w:rPr>
              <w:t>综上，项目平面布置合理，选址可行。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634" w:hRule="atLeast"/>
          <w:jc w:val="center"/>
        </w:trPr>
        <w:tc>
          <w:tcPr>
            <w:tcW w:w="431" w:type="dxa"/>
            <w:vAlign w:val="center"/>
          </w:tcPr>
          <w:p>
            <w:pPr>
              <w:pStyle w:val="16"/>
              <w:adjustRightInd w:val="0"/>
              <w:snapToGrid w:val="0"/>
              <w:spacing w:before="0" w:beforeAutospacing="0" w:after="0" w:afterAutospacing="0"/>
              <w:jc w:val="center"/>
              <w:rPr>
                <w:rFonts w:cs="宋体"/>
                <w:sz w:val="21"/>
                <w:szCs w:val="21"/>
              </w:rPr>
            </w:pPr>
            <w:r>
              <w:rPr>
                <w:rFonts w:hint="eastAsia" w:cs="宋体"/>
                <w:sz w:val="21"/>
                <w:szCs w:val="21"/>
              </w:rPr>
              <w:t>工艺流程和产排污环节</w:t>
            </w:r>
          </w:p>
        </w:tc>
        <w:tc>
          <w:tcPr>
            <w:tcW w:w="8788" w:type="dxa"/>
          </w:tcPr>
          <w:p>
            <w:pPr>
              <w:pStyle w:val="8"/>
              <w:spacing w:line="520" w:lineRule="exact"/>
              <w:rPr>
                <w:rFonts w:eastAsia="黑体"/>
                <w:bCs/>
                <w:szCs w:val="21"/>
              </w:rPr>
            </w:pPr>
            <w:r>
              <w:rPr>
                <w:rFonts w:hint="eastAsia" w:ascii="Times New Roman" w:hAnsi="Times New Roman"/>
                <w:b/>
                <w:color w:val="000000"/>
                <w:sz w:val="24"/>
                <w:szCs w:val="24"/>
              </w:rPr>
              <w:t>1、工艺流程</w:t>
            </w:r>
          </w:p>
          <w:p>
            <w:pPr>
              <w:spacing w:line="360" w:lineRule="auto"/>
              <w:ind w:firstLine="480" w:firstLineChars="200"/>
              <w:rPr>
                <w:rFonts w:hAnsi="宋体"/>
                <w:bCs/>
                <w:sz w:val="24"/>
              </w:rPr>
            </w:pPr>
            <w:r>
              <w:rPr>
                <w:rFonts w:hint="eastAsia" w:hAnsi="宋体"/>
                <w:bCs/>
                <w:sz w:val="24"/>
              </w:rPr>
              <w:t>（1）废钢（产品）生产工艺流程示意图：</w:t>
            </w:r>
          </w:p>
          <w:p>
            <w:pPr>
              <w:adjustRightInd w:val="0"/>
              <w:snapToGrid w:val="0"/>
              <w:jc w:val="center"/>
              <w:rPr>
                <w:rFonts w:ascii="宋体" w:hAnsi="宋体"/>
                <w:bCs/>
                <w:szCs w:val="21"/>
              </w:rPr>
            </w:pPr>
            <w:r>
              <w:rPr>
                <w:rFonts w:hint="eastAsia" w:ascii="宋体" w:hAnsi="宋体"/>
                <w:bCs/>
                <w:szCs w:val="21"/>
              </w:rPr>
              <w:drawing>
                <wp:inline distT="0" distB="0" distL="114300" distR="114300">
                  <wp:extent cx="5438775" cy="2000885"/>
                  <wp:effectExtent l="0" t="0" r="0" b="0"/>
                  <wp:docPr id="16" name="ECB019B1-382A-4266-B25C-5B523AA43C14-1" descr="C:/Users/Administrator/AppData/Local/Temp/wps.ZMRwx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B019B1-382A-4266-B25C-5B523AA43C14-1" descr="C:/Users/Administrator/AppData/Local/Temp/wps.ZMRwxjwps"/>
                          <pic:cNvPicPr>
                            <a:picLocks noChangeAspect="1"/>
                          </pic:cNvPicPr>
                        </pic:nvPicPr>
                        <pic:blipFill>
                          <a:blip r:embed="rId8"/>
                          <a:stretch>
                            <a:fillRect/>
                          </a:stretch>
                        </pic:blipFill>
                        <pic:spPr>
                          <a:xfrm>
                            <a:off x="0" y="0"/>
                            <a:ext cx="5438775" cy="2000885"/>
                          </a:xfrm>
                          <a:prstGeom prst="rect">
                            <a:avLst/>
                          </a:prstGeom>
                          <a:noFill/>
                          <a:ln>
                            <a:noFill/>
                          </a:ln>
                        </pic:spPr>
                      </pic:pic>
                    </a:graphicData>
                  </a:graphic>
                </wp:inline>
              </w:drawing>
            </w:r>
          </w:p>
          <w:p>
            <w:pPr>
              <w:adjustRightInd w:val="0"/>
              <w:snapToGrid w:val="0"/>
              <w:jc w:val="center"/>
              <w:rPr>
                <w:rFonts w:ascii="宋体" w:hAnsi="宋体"/>
                <w:bCs/>
                <w:szCs w:val="21"/>
              </w:rPr>
            </w:pPr>
          </w:p>
          <w:p>
            <w:pPr>
              <w:spacing w:line="360" w:lineRule="auto"/>
              <w:jc w:val="center"/>
            </w:pPr>
            <w:r>
              <w:rPr>
                <w:rFonts w:hint="eastAsia"/>
                <w:b/>
                <w:sz w:val="24"/>
              </w:rPr>
              <w:t>图2-</w:t>
            </w:r>
            <w:r>
              <w:rPr>
                <w:b/>
                <w:sz w:val="24"/>
              </w:rPr>
              <w:t>2</w:t>
            </w:r>
            <w:r>
              <w:rPr>
                <w:rFonts w:hint="eastAsia"/>
                <w:b/>
                <w:sz w:val="24"/>
              </w:rPr>
              <w:t xml:space="preserve">   废钢（产品）</w:t>
            </w:r>
            <w:r>
              <w:rPr>
                <w:b/>
                <w:sz w:val="24"/>
              </w:rPr>
              <w:t>生产工艺流程</w:t>
            </w:r>
            <w:r>
              <w:rPr>
                <w:rFonts w:hint="eastAsia"/>
                <w:b/>
                <w:sz w:val="24"/>
              </w:rPr>
              <w:t>及产污环节</w:t>
            </w:r>
            <w:r>
              <w:rPr>
                <w:b/>
                <w:sz w:val="24"/>
              </w:rPr>
              <w:t>图</w:t>
            </w:r>
          </w:p>
          <w:p>
            <w:pPr>
              <w:adjustRightInd w:val="0"/>
              <w:snapToGrid w:val="0"/>
              <w:jc w:val="center"/>
              <w:rPr>
                <w:rFonts w:ascii="宋体" w:hAnsi="宋体"/>
                <w:bCs/>
                <w:szCs w:val="21"/>
              </w:rPr>
            </w:pPr>
          </w:p>
          <w:p>
            <w:pPr>
              <w:spacing w:line="360" w:lineRule="auto"/>
              <w:ind w:firstLine="480" w:firstLineChars="200"/>
              <w:rPr>
                <w:rFonts w:hAnsi="宋体"/>
                <w:bCs/>
                <w:sz w:val="24"/>
              </w:rPr>
            </w:pPr>
            <w:r>
              <w:rPr>
                <w:rFonts w:hint="eastAsia" w:hAnsi="宋体"/>
                <w:bCs/>
                <w:sz w:val="24"/>
              </w:rPr>
              <w:t>生产工艺流程简述见下。</w:t>
            </w:r>
          </w:p>
          <w:p>
            <w:pPr>
              <w:spacing w:line="360" w:lineRule="auto"/>
              <w:ind w:firstLine="480" w:firstLineChars="200"/>
              <w:rPr>
                <w:rFonts w:ascii="宋体" w:hAnsi="宋体"/>
                <w:sz w:val="24"/>
              </w:rPr>
            </w:pPr>
            <w:r>
              <w:rPr>
                <w:rFonts w:hint="eastAsia" w:ascii="宋体" w:hAnsi="宋体"/>
                <w:sz w:val="24"/>
              </w:rPr>
              <w:t>原料运输：车辆将废钢(原料)运输至厂区，通过自卸卸至车间，通过人工简单分拣，然后进行上料。</w:t>
            </w:r>
          </w:p>
          <w:p>
            <w:pPr>
              <w:spacing w:line="360" w:lineRule="auto"/>
              <w:ind w:firstLine="480" w:firstLineChars="200"/>
              <w:rPr>
                <w:rFonts w:ascii="宋体" w:hAnsi="宋体"/>
                <w:sz w:val="24"/>
              </w:rPr>
            </w:pPr>
            <w:r>
              <w:rPr>
                <w:rFonts w:hint="eastAsia" w:ascii="宋体" w:hAnsi="宋体"/>
                <w:sz w:val="24"/>
              </w:rPr>
              <w:t>为避免原料中混入放射性物质，需对原料进行放射性检测。项目配备便携式辐射监测仪对原料废铁逐一进行放射性检测，在均未检测出放射性物质后才能进入破碎工段。若检测出放射性异常，应立即对整批原料进行隔离并严格看管，同时上报当地环保部门，并配合环保部门对原料进行放射性检测及追查放射性物质来源。</w:t>
            </w:r>
          </w:p>
          <w:p>
            <w:pPr>
              <w:spacing w:line="360" w:lineRule="auto"/>
              <w:ind w:firstLine="480" w:firstLineChars="200"/>
              <w:rPr>
                <w:rFonts w:ascii="宋体" w:hAnsi="宋体"/>
                <w:sz w:val="24"/>
              </w:rPr>
            </w:pPr>
            <w:r>
              <w:rPr>
                <w:rFonts w:hint="eastAsia" w:ascii="宋体" w:hAnsi="宋体"/>
                <w:sz w:val="24"/>
              </w:rPr>
              <w:t xml:space="preserve">破碎工序：通过物理破碎将大块废钢（原料）进行剪切、破碎，碎料后进入磁选机进行磁选；该工序会产生粉尘和噪声。  </w:t>
            </w:r>
          </w:p>
          <w:p>
            <w:pPr>
              <w:spacing w:line="360" w:lineRule="auto"/>
              <w:ind w:firstLine="480" w:firstLineChars="200"/>
              <w:rPr>
                <w:b/>
                <w:color w:val="000000"/>
                <w:sz w:val="24"/>
              </w:rPr>
            </w:pPr>
            <w:r>
              <w:rPr>
                <w:rFonts w:hint="eastAsia" w:ascii="宋体" w:hAnsi="宋体"/>
                <w:sz w:val="24"/>
              </w:rPr>
              <w:t>磁选工序：破碎后的物料通过输送带进入磁选系统，破碎铁被吸起到堆料输送机上，其他物料经磁选系统下部的料斗落入非磁性物质输送机上归堆。经分离出来的产品及杂质在车间内储存。此工序会产生噪声、粉尘。</w:t>
            </w:r>
          </w:p>
          <w:p>
            <w:pPr>
              <w:spacing w:line="360" w:lineRule="auto"/>
              <w:rPr>
                <w:b/>
                <w:color w:val="000000"/>
                <w:sz w:val="24"/>
              </w:rPr>
            </w:pPr>
            <w:r>
              <w:rPr>
                <w:rFonts w:hint="eastAsia"/>
                <w:b/>
                <w:color w:val="000000"/>
                <w:sz w:val="24"/>
              </w:rPr>
              <w:t>2、主要污染工序</w:t>
            </w:r>
          </w:p>
          <w:p>
            <w:pPr>
              <w:spacing w:line="360" w:lineRule="auto"/>
              <w:ind w:firstLine="480" w:firstLineChars="200"/>
              <w:rPr>
                <w:rFonts w:hAnsi="宋体"/>
                <w:sz w:val="24"/>
              </w:rPr>
            </w:pPr>
            <w:r>
              <w:rPr>
                <w:rFonts w:hint="eastAsia" w:hAnsi="宋体"/>
                <w:sz w:val="24"/>
              </w:rPr>
              <w:t>（1）废气</w:t>
            </w:r>
          </w:p>
          <w:p>
            <w:pPr>
              <w:spacing w:line="360" w:lineRule="auto"/>
              <w:ind w:firstLine="480" w:firstLineChars="200"/>
              <w:rPr>
                <w:rFonts w:hint="default" w:hAnsi="宋体" w:eastAsia="宋体"/>
                <w:sz w:val="24"/>
                <w:lang w:val="en-US" w:eastAsia="zh-CN"/>
              </w:rPr>
            </w:pPr>
            <w:r>
              <w:rPr>
                <w:rFonts w:hint="eastAsia" w:hAnsi="宋体"/>
                <w:sz w:val="24"/>
              </w:rPr>
              <w:t>废钢（原料）破碎、磁选过程中产生粉尘；</w:t>
            </w:r>
            <w:r>
              <w:rPr>
                <w:rFonts w:hint="eastAsia" w:hAnsi="宋体"/>
                <w:sz w:val="24"/>
                <w:lang w:val="en-US" w:eastAsia="zh-CN"/>
              </w:rPr>
              <w:t>以及抓机尾气</w:t>
            </w:r>
          </w:p>
          <w:p>
            <w:pPr>
              <w:numPr>
                <w:ilvl w:val="0"/>
                <w:numId w:val="3"/>
              </w:numPr>
              <w:spacing w:line="360" w:lineRule="auto"/>
              <w:ind w:firstLine="480" w:firstLineChars="200"/>
              <w:rPr>
                <w:rFonts w:hAnsi="宋体"/>
                <w:sz w:val="24"/>
              </w:rPr>
            </w:pPr>
            <w:r>
              <w:rPr>
                <w:rFonts w:hint="eastAsia" w:hAnsi="宋体"/>
                <w:sz w:val="24"/>
              </w:rPr>
              <w:t>废水</w:t>
            </w:r>
          </w:p>
          <w:p>
            <w:pPr>
              <w:spacing w:line="360" w:lineRule="auto"/>
              <w:ind w:firstLine="480" w:firstLineChars="200"/>
              <w:rPr>
                <w:rFonts w:hAnsi="宋体"/>
                <w:sz w:val="24"/>
              </w:rPr>
            </w:pPr>
            <w:r>
              <w:rPr>
                <w:rFonts w:hint="eastAsia" w:hAnsi="宋体"/>
                <w:sz w:val="24"/>
              </w:rPr>
              <w:t>项目运行过程产生的废水主要为职工的生活污水；</w:t>
            </w:r>
          </w:p>
          <w:p>
            <w:pPr>
              <w:numPr>
                <w:ilvl w:val="0"/>
                <w:numId w:val="3"/>
              </w:numPr>
              <w:spacing w:line="360" w:lineRule="auto"/>
              <w:ind w:firstLine="480" w:firstLineChars="200"/>
              <w:rPr>
                <w:rFonts w:hAnsi="宋体"/>
                <w:sz w:val="24"/>
              </w:rPr>
            </w:pPr>
            <w:r>
              <w:rPr>
                <w:rFonts w:hint="eastAsia" w:hAnsi="宋体"/>
                <w:sz w:val="24"/>
              </w:rPr>
              <w:t>噪声</w:t>
            </w:r>
          </w:p>
          <w:p>
            <w:pPr>
              <w:spacing w:line="360" w:lineRule="auto"/>
              <w:ind w:firstLine="480" w:firstLineChars="200"/>
              <w:rPr>
                <w:rFonts w:hAnsi="宋体"/>
                <w:sz w:val="24"/>
              </w:rPr>
            </w:pPr>
            <w:r>
              <w:rPr>
                <w:rFonts w:hint="eastAsia" w:hAnsi="宋体"/>
                <w:sz w:val="24"/>
              </w:rPr>
              <w:t>项目运行过程产生的噪声主要来自破碎机、磁选机、输送带等设备运行中产生的噪声。</w:t>
            </w:r>
          </w:p>
          <w:p>
            <w:pPr>
              <w:numPr>
                <w:ilvl w:val="0"/>
                <w:numId w:val="3"/>
              </w:numPr>
              <w:spacing w:line="360" w:lineRule="auto"/>
              <w:ind w:firstLine="480" w:firstLineChars="200"/>
              <w:rPr>
                <w:rFonts w:hAnsi="宋体"/>
                <w:sz w:val="24"/>
              </w:rPr>
            </w:pPr>
            <w:r>
              <w:rPr>
                <w:rFonts w:hint="eastAsia" w:hAnsi="宋体"/>
                <w:sz w:val="24"/>
              </w:rPr>
              <w:t>固废</w:t>
            </w:r>
          </w:p>
          <w:p>
            <w:pPr>
              <w:spacing w:line="360" w:lineRule="auto"/>
              <w:ind w:firstLine="480" w:firstLineChars="200"/>
              <w:rPr>
                <w:rFonts w:hAnsi="宋体"/>
                <w:sz w:val="24"/>
              </w:rPr>
            </w:pPr>
            <w:r>
              <w:rPr>
                <w:rFonts w:hint="eastAsia" w:hAnsi="宋体"/>
                <w:sz w:val="24"/>
              </w:rPr>
              <w:t>项目运行过程产生的固废主要为职工生活垃圾、磁选废料、除尘器</w:t>
            </w:r>
            <w:r>
              <w:rPr>
                <w:rFonts w:hint="eastAsia" w:hAnsi="宋体"/>
                <w:sz w:val="24"/>
                <w:lang w:val="en-US" w:eastAsia="zh-CN"/>
              </w:rPr>
              <w:t>收集</w:t>
            </w:r>
            <w:r>
              <w:rPr>
                <w:rFonts w:hint="eastAsia" w:hAnsi="宋体"/>
                <w:sz w:val="24"/>
              </w:rPr>
              <w:t>的粉尘。</w:t>
            </w:r>
          </w:p>
          <w:p>
            <w:pPr>
              <w:spacing w:line="360" w:lineRule="auto"/>
              <w:ind w:firstLine="480" w:firstLineChars="200"/>
              <w:rPr>
                <w:rFonts w:hAnsi="宋体"/>
                <w:sz w:val="24"/>
              </w:rPr>
            </w:pPr>
            <w:r>
              <w:rPr>
                <w:rFonts w:hint="eastAsia" w:hAnsi="宋体"/>
                <w:sz w:val="24"/>
              </w:rPr>
              <w:t>本项目产污情况见下表。</w:t>
            </w:r>
          </w:p>
          <w:p>
            <w:pPr>
              <w:tabs>
                <w:tab w:val="left" w:pos="1080"/>
                <w:tab w:val="left" w:pos="2700"/>
                <w:tab w:val="left" w:pos="3780"/>
              </w:tabs>
              <w:spacing w:line="520" w:lineRule="exact"/>
              <w:jc w:val="center"/>
              <w:rPr>
                <w:rFonts w:eastAsia="黑体"/>
                <w:color w:val="000000"/>
                <w:sz w:val="24"/>
              </w:rPr>
            </w:pPr>
            <w:r>
              <w:rPr>
                <w:rFonts w:eastAsia="黑体"/>
                <w:color w:val="000000"/>
                <w:sz w:val="24"/>
              </w:rPr>
              <w:t>表</w:t>
            </w:r>
            <w:r>
              <w:rPr>
                <w:rFonts w:hint="eastAsia" w:eastAsia="黑体"/>
                <w:color w:val="000000"/>
                <w:sz w:val="24"/>
              </w:rPr>
              <w:t>2-6</w:t>
            </w:r>
            <w:r>
              <w:rPr>
                <w:rFonts w:eastAsia="黑体"/>
                <w:color w:val="000000"/>
                <w:sz w:val="24"/>
              </w:rPr>
              <w:t xml:space="preserve">  </w:t>
            </w:r>
            <w:r>
              <w:rPr>
                <w:rFonts w:hint="eastAsia" w:eastAsia="黑体"/>
                <w:color w:val="000000"/>
                <w:sz w:val="24"/>
              </w:rPr>
              <w:t>运营期污染物产生情况表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1712"/>
              <w:gridCol w:w="237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4" w:type="dxa"/>
                  <w:gridSpan w:val="2"/>
                  <w:vAlign w:val="center"/>
                </w:tcPr>
                <w:p>
                  <w:pPr>
                    <w:tabs>
                      <w:tab w:val="left" w:pos="1080"/>
                      <w:tab w:val="left" w:pos="2700"/>
                      <w:tab w:val="left" w:pos="3780"/>
                    </w:tabs>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b/>
                      <w:bCs/>
                      <w:color w:val="000000"/>
                      <w:szCs w:val="21"/>
                    </w:rPr>
                    <w:t>类别</w:t>
                  </w:r>
                </w:p>
              </w:tc>
              <w:tc>
                <w:tcPr>
                  <w:tcW w:w="2375" w:type="dxa"/>
                  <w:vAlign w:val="center"/>
                </w:tcPr>
                <w:p>
                  <w:pPr>
                    <w:tabs>
                      <w:tab w:val="left" w:pos="1080"/>
                      <w:tab w:val="left" w:pos="2700"/>
                      <w:tab w:val="left" w:pos="3780"/>
                    </w:tabs>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b/>
                      <w:bCs/>
                      <w:color w:val="000000"/>
                      <w:szCs w:val="21"/>
                    </w:rPr>
                    <w:t>产污工序</w:t>
                  </w:r>
                </w:p>
              </w:tc>
              <w:tc>
                <w:tcPr>
                  <w:tcW w:w="2490" w:type="dxa"/>
                  <w:vAlign w:val="center"/>
                </w:tcPr>
                <w:p>
                  <w:pPr>
                    <w:tabs>
                      <w:tab w:val="left" w:pos="1080"/>
                      <w:tab w:val="left" w:pos="2700"/>
                      <w:tab w:val="left" w:pos="3780"/>
                    </w:tabs>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b/>
                      <w:bCs/>
                      <w:color w:val="000000"/>
                      <w:szCs w:val="21"/>
                    </w:rPr>
                    <w:t>污染物种类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废气</w:t>
                  </w:r>
                </w:p>
              </w:tc>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粉尘</w:t>
                  </w:r>
                </w:p>
              </w:tc>
              <w:tc>
                <w:tcPr>
                  <w:tcW w:w="2375"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破碎、磁选工序</w:t>
                  </w:r>
                </w:p>
              </w:tc>
              <w:tc>
                <w:tcPr>
                  <w:tcW w:w="2490"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废水</w:t>
                  </w:r>
                </w:p>
              </w:tc>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生活污水</w:t>
                  </w:r>
                </w:p>
              </w:tc>
              <w:tc>
                <w:tcPr>
                  <w:tcW w:w="2375"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员工办公、生活</w:t>
                  </w:r>
                </w:p>
              </w:tc>
              <w:tc>
                <w:tcPr>
                  <w:tcW w:w="2490"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vertAlign w:val="subscript"/>
                    </w:rPr>
                  </w:pPr>
                  <w:r>
                    <w:rPr>
                      <w:rFonts w:hint="eastAsia" w:asciiTheme="minorEastAsia" w:hAnsiTheme="minorEastAsia" w:eastAsiaTheme="minorEastAsia" w:cstheme="minorEastAsia"/>
                      <w:color w:val="000000"/>
                      <w:szCs w:val="21"/>
                    </w:rPr>
                    <w:t>COD、BOD</w:t>
                  </w:r>
                  <w:r>
                    <w:rPr>
                      <w:rFonts w:hint="eastAsia" w:asciiTheme="minorEastAsia" w:hAnsiTheme="minorEastAsia" w:eastAsiaTheme="minorEastAsia" w:cstheme="minorEastAsia"/>
                      <w:color w:val="000000"/>
                      <w:szCs w:val="21"/>
                      <w:vertAlign w:val="subscript"/>
                    </w:rPr>
                    <w:t>5</w:t>
                  </w:r>
                  <w:r>
                    <w:rPr>
                      <w:rFonts w:hint="eastAsia" w:asciiTheme="minorEastAsia" w:hAnsiTheme="minorEastAsia" w:eastAsiaTheme="minorEastAsia" w:cstheme="minorEastAsia"/>
                      <w:color w:val="000000"/>
                      <w:szCs w:val="21"/>
                    </w:rPr>
                    <w:t>、SS、NH</w:t>
                  </w:r>
                  <w:r>
                    <w:rPr>
                      <w:rFonts w:hint="eastAsia" w:asciiTheme="minorEastAsia" w:hAnsiTheme="minorEastAsia" w:eastAsiaTheme="minorEastAsia" w:cstheme="minorEastAsia"/>
                      <w:color w:val="000000"/>
                      <w:szCs w:val="21"/>
                      <w:vertAlign w:val="subscript"/>
                    </w:rPr>
                    <w:t>3</w:t>
                  </w:r>
                  <w:r>
                    <w:rPr>
                      <w:rFonts w:hint="eastAsia" w:asciiTheme="minorEastAsia" w:hAnsiTheme="minorEastAsia" w:eastAsiaTheme="minorEastAsia" w:cstheme="minorEastAsia"/>
                      <w:color w:val="000000"/>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噪声</w:t>
                  </w:r>
                </w:p>
              </w:tc>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设备噪声</w:t>
                  </w:r>
                </w:p>
              </w:tc>
              <w:tc>
                <w:tcPr>
                  <w:tcW w:w="2375"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破碎机、磁选机</w:t>
                  </w:r>
                </w:p>
              </w:tc>
              <w:tc>
                <w:tcPr>
                  <w:tcW w:w="2490"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Merge w:val="restart"/>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固废</w:t>
                  </w:r>
                </w:p>
              </w:tc>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生活垃圾</w:t>
                  </w:r>
                </w:p>
              </w:tc>
              <w:tc>
                <w:tcPr>
                  <w:tcW w:w="2375"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员工办公生活</w:t>
                  </w:r>
                </w:p>
              </w:tc>
              <w:tc>
                <w:tcPr>
                  <w:tcW w:w="2490"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纸张、塑料袋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Merge w:val="continue"/>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p>
              </w:tc>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磁选废料</w:t>
                  </w:r>
                </w:p>
              </w:tc>
              <w:tc>
                <w:tcPr>
                  <w:tcW w:w="2375"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机加工序</w:t>
                  </w:r>
                </w:p>
              </w:tc>
              <w:tc>
                <w:tcPr>
                  <w:tcW w:w="2490"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一般工业固废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vMerge w:val="continue"/>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p>
              </w:tc>
              <w:tc>
                <w:tcPr>
                  <w:tcW w:w="1712"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除尘器收集尘</w:t>
                  </w:r>
                </w:p>
              </w:tc>
              <w:tc>
                <w:tcPr>
                  <w:tcW w:w="2375"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磁选工序</w:t>
                  </w:r>
                </w:p>
              </w:tc>
              <w:tc>
                <w:tcPr>
                  <w:tcW w:w="2490" w:type="dxa"/>
                  <w:vAlign w:val="center"/>
                </w:tcPr>
                <w:p>
                  <w:pPr>
                    <w:tabs>
                      <w:tab w:val="left" w:pos="1080"/>
                      <w:tab w:val="left" w:pos="2700"/>
                      <w:tab w:val="left" w:pos="3780"/>
                    </w:tabs>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一般工业固废</w:t>
                  </w:r>
                </w:p>
              </w:tc>
            </w:tr>
          </w:tbl>
          <w:p>
            <w:pPr>
              <w:tabs>
                <w:tab w:val="left" w:pos="1080"/>
                <w:tab w:val="left" w:pos="2700"/>
                <w:tab w:val="left" w:pos="3780"/>
              </w:tabs>
              <w:spacing w:line="520" w:lineRule="exact"/>
              <w:jc w:val="center"/>
              <w:rPr>
                <w:rFonts w:eastAsia="黑体"/>
                <w:color w:val="000000"/>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80" w:firstLineChars="200"/>
              <w:rPr>
                <w:rFonts w:hAnsi="宋体"/>
                <w:sz w:val="24"/>
              </w:rPr>
            </w:pPr>
          </w:p>
          <w:p>
            <w:pPr>
              <w:spacing w:line="360" w:lineRule="auto"/>
              <w:ind w:firstLine="420" w:firstLineChars="200"/>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431" w:type="dxa"/>
            <w:vAlign w:val="center"/>
          </w:tcPr>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r>
              <w:rPr>
                <w:rFonts w:hint="eastAsia" w:cs="宋体"/>
                <w:bCs/>
                <w:kern w:val="2"/>
                <w:sz w:val="21"/>
                <w:szCs w:val="21"/>
              </w:rPr>
              <w:t>与项目有关的原有环境污染问题</w:t>
            </w: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bCs/>
                <w:kern w:val="2"/>
                <w:sz w:val="21"/>
                <w:szCs w:val="21"/>
              </w:rPr>
            </w:pPr>
          </w:p>
          <w:p>
            <w:pPr>
              <w:pStyle w:val="16"/>
              <w:adjustRightInd w:val="0"/>
              <w:snapToGrid w:val="0"/>
              <w:spacing w:before="0" w:beforeAutospacing="0" w:after="0" w:afterAutospacing="0"/>
              <w:jc w:val="center"/>
              <w:rPr>
                <w:rFonts w:cs="宋体"/>
                <w:sz w:val="21"/>
                <w:szCs w:val="21"/>
              </w:rPr>
            </w:pPr>
          </w:p>
        </w:tc>
        <w:tc>
          <w:tcPr>
            <w:tcW w:w="8788" w:type="dxa"/>
            <w:vAlign w:val="center"/>
          </w:tcPr>
          <w:p>
            <w:pPr>
              <w:snapToGrid w:val="0"/>
              <w:spacing w:line="360" w:lineRule="auto"/>
              <w:rPr>
                <w:rFonts w:eastAsia="黑体"/>
                <w:color w:val="FF0000"/>
                <w:sz w:val="24"/>
              </w:rPr>
            </w:pPr>
          </w:p>
          <w:p>
            <w:pPr>
              <w:spacing w:line="360" w:lineRule="auto"/>
              <w:ind w:firstLine="482" w:firstLineChars="200"/>
              <w:outlineLvl w:val="0"/>
              <w:rPr>
                <w:b/>
                <w:color w:val="000000" w:themeColor="text1"/>
                <w:sz w:val="24"/>
                <w:u w:val="single"/>
                <w14:textFill>
                  <w14:solidFill>
                    <w14:schemeClr w14:val="tx1"/>
                  </w14:solidFill>
                </w14:textFill>
              </w:rPr>
            </w:pPr>
            <w:r>
              <w:rPr>
                <w:b/>
                <w:color w:val="000000" w:themeColor="text1"/>
                <w:sz w:val="24"/>
                <w:u w:val="single"/>
                <w14:textFill>
                  <w14:solidFill>
                    <w14:schemeClr w14:val="tx1"/>
                  </w14:solidFill>
                </w14:textFill>
              </w:rPr>
              <w:t>本项目为新建项目，目前项目区设备已安装到位，属于未批先建项目。</w:t>
            </w:r>
            <w:r>
              <w:rPr>
                <w:rFonts w:hint="eastAsia"/>
                <w:b/>
                <w:color w:val="000000" w:themeColor="text1"/>
                <w:sz w:val="24"/>
                <w:u w:val="single"/>
                <w14:textFill>
                  <w14:solidFill>
                    <w14:schemeClr w14:val="tx1"/>
                  </w14:solidFill>
                </w14:textFill>
              </w:rPr>
              <w:t>漯河市生态环境局郾城分局</w:t>
            </w:r>
            <w:r>
              <w:rPr>
                <w:b/>
                <w:color w:val="000000" w:themeColor="text1"/>
                <w:sz w:val="24"/>
                <w:u w:val="single"/>
                <w14:textFill>
                  <w14:solidFill>
                    <w14:schemeClr w14:val="tx1"/>
                  </w14:solidFill>
                </w14:textFill>
              </w:rPr>
              <w:t>已对建设单位出具行政处罚决定书，建设单位已按照要求停止生产</w:t>
            </w:r>
            <w:r>
              <w:rPr>
                <w:rFonts w:hint="eastAsia"/>
                <w:b/>
                <w:color w:val="000000" w:themeColor="text1"/>
                <w:sz w:val="24"/>
                <w:u w:val="single"/>
                <w14:textFill>
                  <w14:solidFill>
                    <w14:schemeClr w14:val="tx1"/>
                  </w14:solidFill>
                </w14:textFill>
              </w:rPr>
              <w:t>，并</w:t>
            </w:r>
            <w:r>
              <w:rPr>
                <w:b/>
                <w:color w:val="000000" w:themeColor="text1"/>
                <w:sz w:val="24"/>
                <w:u w:val="single"/>
                <w14:textFill>
                  <w14:solidFill>
                    <w14:schemeClr w14:val="tx1"/>
                  </w14:solidFill>
                </w14:textFill>
              </w:rPr>
              <w:t>按照行政处罚决定书缴纳罚款，项目开工建设前厂区为闲置厂房，不存在原有污染情况及遗留的环境问题。</w:t>
            </w:r>
          </w:p>
          <w:p>
            <w:pPr>
              <w:adjustRightInd w:val="0"/>
              <w:snapToGrid w:val="0"/>
              <w:rPr>
                <w:rFonts w:ascii="宋体" w:hAnsi="宋体"/>
                <w:bCs/>
                <w:szCs w:val="21"/>
              </w:rPr>
            </w:pPr>
          </w:p>
          <w:p>
            <w:pPr>
              <w:adjustRightInd w:val="0"/>
              <w:snapToGrid w:val="0"/>
              <w:rPr>
                <w:rFonts w:ascii="宋体" w:hAnsi="宋体"/>
                <w:bCs/>
                <w:szCs w:val="21"/>
              </w:rPr>
            </w:pPr>
          </w:p>
          <w:p>
            <w:pPr>
              <w:adjustRightInd w:val="0"/>
              <w:snapToGrid w:val="0"/>
              <w:rPr>
                <w:rFonts w:ascii="宋体" w:hAnsi="宋体"/>
                <w:bCs/>
                <w:szCs w:val="21"/>
              </w:rPr>
            </w:pPr>
          </w:p>
          <w:p>
            <w:pPr>
              <w:adjustRightInd w:val="0"/>
              <w:snapToGrid w:val="0"/>
              <w:rPr>
                <w:rFonts w:ascii="宋体" w:hAnsi="宋体"/>
                <w:bCs/>
                <w:szCs w:val="21"/>
              </w:rPr>
            </w:pPr>
          </w:p>
        </w:tc>
      </w:tr>
    </w:tbl>
    <w:p>
      <w:pPr>
        <w:pStyle w:val="16"/>
        <w:jc w:val="center"/>
        <w:rPr>
          <w:rFonts w:ascii="黑体" w:hAnsi="黑体" w:eastAsia="黑体"/>
          <w:snapToGrid w:val="0"/>
          <w:sz w:val="36"/>
          <w:szCs w:val="36"/>
        </w:rPr>
        <w:sectPr>
          <w:pgSz w:w="11906" w:h="16838"/>
          <w:pgMar w:top="1701" w:right="1531" w:bottom="1701" w:left="1531" w:header="851" w:footer="851" w:gutter="0"/>
          <w:cols w:space="720" w:num="1"/>
          <w:docGrid w:linePitch="312" w:charSpace="0"/>
        </w:sectPr>
      </w:pPr>
    </w:p>
    <w:p>
      <w:pPr>
        <w:pStyle w:val="16"/>
        <w:adjustRightInd w:val="0"/>
        <w:snapToGrid w:val="0"/>
        <w:spacing w:before="0" w:beforeAutospacing="0" w:after="0" w:afterAutospacing="0" w:line="14" w:lineRule="auto"/>
        <w:jc w:val="center"/>
        <w:outlineLvl w:val="0"/>
        <w:rPr>
          <w:rFonts w:ascii="黑体" w:hAnsi="黑体" w:eastAsia="黑体"/>
          <w:snapToGrid w:val="0"/>
          <w:sz w:val="30"/>
          <w:szCs w:val="30"/>
        </w:rPr>
      </w:pPr>
    </w:p>
    <w:p>
      <w:pPr>
        <w:pStyle w:val="16"/>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19"/>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8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59" w:hRule="atLeast"/>
          <w:jc w:val="center"/>
        </w:trPr>
        <w:tc>
          <w:tcPr>
            <w:tcW w:w="353"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区域</w:t>
            </w:r>
          </w:p>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4646" w:type="pct"/>
            <w:vAlign w:val="center"/>
          </w:tcPr>
          <w:p>
            <w:pPr>
              <w:pStyle w:val="5"/>
              <w:adjustRightInd w:val="0"/>
              <w:spacing w:before="120" w:beforeLines="50" w:after="0" w:line="360" w:lineRule="auto"/>
              <w:ind w:right="0"/>
              <w:rPr>
                <w:b/>
                <w:spacing w:val="2"/>
                <w:sz w:val="24"/>
                <w:szCs w:val="24"/>
              </w:rPr>
            </w:pPr>
            <w:r>
              <w:rPr>
                <w:b/>
                <w:spacing w:val="2"/>
                <w:sz w:val="24"/>
                <w:szCs w:val="24"/>
              </w:rPr>
              <w:t>1</w:t>
            </w:r>
            <w:r>
              <w:rPr>
                <w:rFonts w:hAnsi="宋体"/>
                <w:b/>
                <w:spacing w:val="2"/>
                <w:sz w:val="24"/>
                <w:szCs w:val="24"/>
              </w:rPr>
              <w:t>、环境空气</w:t>
            </w:r>
          </w:p>
          <w:p>
            <w:pPr>
              <w:adjustRightInd w:val="0"/>
              <w:snapToGrid w:val="0"/>
              <w:spacing w:line="360" w:lineRule="auto"/>
              <w:ind w:firstLine="480" w:firstLineChars="200"/>
              <w:rPr>
                <w:sz w:val="24"/>
              </w:rPr>
            </w:pPr>
            <w:r>
              <w:rPr>
                <w:sz w:val="24"/>
              </w:rPr>
              <w:t>本项目环境空气质量现状评价采用河南省环境监测中心发布的漯河市2020年度SO</w:t>
            </w:r>
            <w:r>
              <w:rPr>
                <w:sz w:val="24"/>
                <w:vertAlign w:val="subscript"/>
              </w:rPr>
              <w:t>2</w:t>
            </w:r>
            <w:r>
              <w:rPr>
                <w:sz w:val="24"/>
              </w:rPr>
              <w:t>、NO</w:t>
            </w:r>
            <w:r>
              <w:rPr>
                <w:sz w:val="24"/>
                <w:vertAlign w:val="subscript"/>
              </w:rPr>
              <w:t>2</w:t>
            </w:r>
            <w:r>
              <w:rPr>
                <w:sz w:val="24"/>
              </w:rPr>
              <w:t>、PM</w:t>
            </w:r>
            <w:r>
              <w:rPr>
                <w:sz w:val="24"/>
                <w:vertAlign w:val="subscript"/>
              </w:rPr>
              <w:t>10</w:t>
            </w:r>
            <w:r>
              <w:rPr>
                <w:sz w:val="24"/>
              </w:rPr>
              <w:t>、PM</w:t>
            </w:r>
            <w:r>
              <w:rPr>
                <w:sz w:val="24"/>
                <w:vertAlign w:val="subscript"/>
              </w:rPr>
              <w:t>2.5</w:t>
            </w:r>
            <w:r>
              <w:rPr>
                <w:sz w:val="24"/>
              </w:rPr>
              <w:t>、CO</w:t>
            </w:r>
            <w:r>
              <w:rPr>
                <w:sz w:val="24"/>
                <w:vertAlign w:val="subscript"/>
              </w:rPr>
              <w:t>24</w:t>
            </w:r>
            <w:r>
              <w:rPr>
                <w:sz w:val="24"/>
              </w:rPr>
              <w:t>小时平均浓度及O</w:t>
            </w:r>
            <w:r>
              <w:rPr>
                <w:sz w:val="24"/>
                <w:vertAlign w:val="subscript"/>
              </w:rPr>
              <w:t>3</w:t>
            </w:r>
            <w:r>
              <w:rPr>
                <w:sz w:val="24"/>
              </w:rPr>
              <w:t>日最大8小时平均浓度监测数据，并按照《环境空气质量评价指标技术规范》（HJ663-2013）中各评价项目的年评价指标判区域环境空气质量达标情况，年评价指标中的年均浓度和相应百分位数24小时平均或8小时平均质量浓度满足《环境空气质量标准》（GB3095-2012）二级标准要求的即为达标。常规监测统计结果见下表。</w:t>
            </w:r>
          </w:p>
          <w:p>
            <w:pPr>
              <w:adjustRightInd w:val="0"/>
              <w:snapToGrid w:val="0"/>
              <w:spacing w:before="48" w:beforeLines="20"/>
              <w:ind w:firstLine="480" w:firstLineChars="200"/>
              <w:rPr>
                <w:rFonts w:eastAsia="黑体"/>
                <w:color w:val="000000"/>
                <w:sz w:val="24"/>
              </w:rPr>
            </w:pPr>
            <w:r>
              <w:rPr>
                <w:rFonts w:eastAsia="黑体"/>
                <w:color w:val="000000"/>
                <w:sz w:val="24"/>
              </w:rPr>
              <w:t>表3-1            2020年环境空气常规监测统计结果   单位：µg/m</w:t>
            </w:r>
            <w:r>
              <w:rPr>
                <w:rFonts w:eastAsia="黑体"/>
                <w:color w:val="000000"/>
                <w:sz w:val="24"/>
                <w:vertAlign w:val="superscript"/>
              </w:rPr>
              <w:t>3</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444"/>
              <w:gridCol w:w="758"/>
              <w:gridCol w:w="758"/>
              <w:gridCol w:w="886"/>
              <w:gridCol w:w="886"/>
              <w:gridCol w:w="136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432" w:type="dxa"/>
                  <w:gridSpan w:val="2"/>
                  <w:tcBorders>
                    <w:tl2br w:val="single" w:color="auto" w:sz="4" w:space="0"/>
                  </w:tcBorders>
                  <w:tcMar>
                    <w:left w:w="57" w:type="dxa"/>
                    <w:right w:w="57" w:type="dxa"/>
                  </w:tcMar>
                  <w:vAlign w:val="center"/>
                </w:tcPr>
                <w:p>
                  <w:pPr>
                    <w:adjustRightInd w:val="0"/>
                    <w:snapToGrid w:val="0"/>
                    <w:jc w:val="center"/>
                    <w:rPr>
                      <w:color w:val="000000"/>
                    </w:rPr>
                  </w:pPr>
                  <w:r>
                    <w:rPr>
                      <w:color w:val="000000"/>
                    </w:rPr>
                    <w:t xml:space="preserve">           监测因子</w:t>
                  </w:r>
                </w:p>
                <w:p>
                  <w:pPr>
                    <w:adjustRightInd w:val="0"/>
                    <w:snapToGrid w:val="0"/>
                    <w:rPr>
                      <w:color w:val="000000"/>
                    </w:rPr>
                  </w:pPr>
                  <w:r>
                    <w:rPr>
                      <w:color w:val="000000"/>
                    </w:rPr>
                    <w:t>监测点位</w:t>
                  </w:r>
                </w:p>
              </w:tc>
              <w:tc>
                <w:tcPr>
                  <w:tcW w:w="774" w:type="dxa"/>
                  <w:vAlign w:val="center"/>
                </w:tcPr>
                <w:p>
                  <w:pPr>
                    <w:widowControl/>
                    <w:adjustRightInd w:val="0"/>
                    <w:snapToGrid w:val="0"/>
                    <w:jc w:val="center"/>
                    <w:rPr>
                      <w:color w:val="000000"/>
                    </w:rPr>
                  </w:pPr>
                  <w:r>
                    <w:rPr>
                      <w:color w:val="000000"/>
                    </w:rPr>
                    <w:t>SO</w:t>
                  </w:r>
                  <w:r>
                    <w:rPr>
                      <w:color w:val="000000"/>
                      <w:vertAlign w:val="subscript"/>
                    </w:rPr>
                    <w:t>2</w:t>
                  </w:r>
                </w:p>
              </w:tc>
              <w:tc>
                <w:tcPr>
                  <w:tcW w:w="774" w:type="dxa"/>
                  <w:vAlign w:val="center"/>
                </w:tcPr>
                <w:p>
                  <w:pPr>
                    <w:adjustRightInd w:val="0"/>
                    <w:snapToGrid w:val="0"/>
                    <w:jc w:val="center"/>
                    <w:rPr>
                      <w:color w:val="000000"/>
                    </w:rPr>
                  </w:pPr>
                  <w:r>
                    <w:rPr>
                      <w:color w:val="000000"/>
                    </w:rPr>
                    <w:t>NO</w:t>
                  </w:r>
                  <w:r>
                    <w:rPr>
                      <w:color w:val="000000"/>
                      <w:vertAlign w:val="subscript"/>
                    </w:rPr>
                    <w:t>2</w:t>
                  </w:r>
                </w:p>
              </w:tc>
              <w:tc>
                <w:tcPr>
                  <w:tcW w:w="905" w:type="dxa"/>
                  <w:vAlign w:val="center"/>
                </w:tcPr>
                <w:p>
                  <w:pPr>
                    <w:adjustRightInd w:val="0"/>
                    <w:snapToGrid w:val="0"/>
                    <w:jc w:val="center"/>
                    <w:rPr>
                      <w:color w:val="000000"/>
                    </w:rPr>
                  </w:pPr>
                  <w:r>
                    <w:rPr>
                      <w:color w:val="000000"/>
                    </w:rPr>
                    <w:t>PM</w:t>
                  </w:r>
                  <w:r>
                    <w:rPr>
                      <w:color w:val="000000"/>
                      <w:vertAlign w:val="subscript"/>
                    </w:rPr>
                    <w:t>10</w:t>
                  </w:r>
                </w:p>
              </w:tc>
              <w:tc>
                <w:tcPr>
                  <w:tcW w:w="905" w:type="dxa"/>
                  <w:vAlign w:val="center"/>
                </w:tcPr>
                <w:p>
                  <w:pPr>
                    <w:adjustRightInd w:val="0"/>
                    <w:snapToGrid w:val="0"/>
                    <w:jc w:val="center"/>
                    <w:rPr>
                      <w:color w:val="000000"/>
                    </w:rPr>
                  </w:pPr>
                  <w:r>
                    <w:rPr>
                      <w:color w:val="000000"/>
                    </w:rPr>
                    <w:t>PM</w:t>
                  </w:r>
                  <w:r>
                    <w:rPr>
                      <w:color w:val="000000"/>
                      <w:vertAlign w:val="subscript"/>
                    </w:rPr>
                    <w:t>2.5</w:t>
                  </w:r>
                </w:p>
              </w:tc>
              <w:tc>
                <w:tcPr>
                  <w:tcW w:w="1391" w:type="dxa"/>
                  <w:vAlign w:val="center"/>
                </w:tcPr>
                <w:p>
                  <w:pPr>
                    <w:adjustRightInd w:val="0"/>
                    <w:snapToGrid w:val="0"/>
                    <w:jc w:val="center"/>
                    <w:rPr>
                      <w:color w:val="000000"/>
                    </w:rPr>
                  </w:pPr>
                  <w:r>
                    <w:rPr>
                      <w:color w:val="000000"/>
                    </w:rPr>
                    <w:t>CO</w:t>
                  </w:r>
                  <w:r>
                    <w:rPr>
                      <w:color w:val="000000"/>
                      <w:szCs w:val="21"/>
                    </w:rPr>
                    <w:t>（</w:t>
                  </w:r>
                  <w:r>
                    <w:rPr>
                      <w:rFonts w:eastAsia="黑体"/>
                      <w:color w:val="000000"/>
                      <w:szCs w:val="21"/>
                    </w:rPr>
                    <w:t>mg/m</w:t>
                  </w:r>
                  <w:r>
                    <w:rPr>
                      <w:rFonts w:eastAsia="黑体"/>
                      <w:color w:val="000000"/>
                      <w:szCs w:val="21"/>
                      <w:vertAlign w:val="superscript"/>
                    </w:rPr>
                    <w:t>3</w:t>
                  </w:r>
                  <w:r>
                    <w:rPr>
                      <w:color w:val="000000"/>
                      <w:szCs w:val="21"/>
                    </w:rPr>
                    <w:t>）</w:t>
                  </w:r>
                </w:p>
              </w:tc>
              <w:tc>
                <w:tcPr>
                  <w:tcW w:w="1290" w:type="dxa"/>
                  <w:vAlign w:val="center"/>
                </w:tcPr>
                <w:p>
                  <w:pPr>
                    <w:adjustRightInd w:val="0"/>
                    <w:snapToGrid w:val="0"/>
                    <w:jc w:val="center"/>
                    <w:rPr>
                      <w:color w:val="000000"/>
                    </w:rPr>
                  </w:pPr>
                  <w:r>
                    <w:rPr>
                      <w:color w:val="000000"/>
                    </w:rPr>
                    <w:t>O</w:t>
                  </w:r>
                  <w:r>
                    <w:rPr>
                      <w:color w:val="000000"/>
                      <w:vertAlign w:val="subscript"/>
                    </w:rPr>
                    <w:t>3</w:t>
                  </w:r>
                  <w:r>
                    <w:rPr>
                      <w:color w:val="000000"/>
                    </w:rPr>
                    <w:t>（日最大8小时）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restart"/>
                  <w:tcMar>
                    <w:left w:w="57" w:type="dxa"/>
                    <w:right w:w="57" w:type="dxa"/>
                  </w:tcMar>
                  <w:vAlign w:val="center"/>
                </w:tcPr>
                <w:p>
                  <w:pPr>
                    <w:adjustRightInd w:val="0"/>
                    <w:snapToGrid w:val="0"/>
                    <w:jc w:val="center"/>
                    <w:rPr>
                      <w:color w:val="000000"/>
                    </w:rPr>
                  </w:pPr>
                  <w:r>
                    <w:rPr>
                      <w:color w:val="000000"/>
                    </w:rPr>
                    <w:t>2020年漯河市</w:t>
                  </w:r>
                </w:p>
              </w:tc>
              <w:tc>
                <w:tcPr>
                  <w:tcW w:w="1529" w:type="dxa"/>
                  <w:vAlign w:val="center"/>
                </w:tcPr>
                <w:p>
                  <w:pPr>
                    <w:adjustRightInd w:val="0"/>
                    <w:snapToGrid w:val="0"/>
                    <w:jc w:val="center"/>
                    <w:rPr>
                      <w:color w:val="000000"/>
                    </w:rPr>
                  </w:pPr>
                  <w:r>
                    <w:rPr>
                      <w:color w:val="000000"/>
                    </w:rPr>
                    <w:t>24小时平均</w:t>
                  </w:r>
                </w:p>
              </w:tc>
              <w:tc>
                <w:tcPr>
                  <w:tcW w:w="774" w:type="dxa"/>
                  <w:vAlign w:val="center"/>
                </w:tcPr>
                <w:p>
                  <w:pPr>
                    <w:adjustRightInd w:val="0"/>
                    <w:snapToGrid w:val="0"/>
                    <w:jc w:val="center"/>
                    <w:rPr>
                      <w:color w:val="000000"/>
                    </w:rPr>
                  </w:pPr>
                  <w:r>
                    <w:rPr>
                      <w:color w:val="000000"/>
                    </w:rPr>
                    <w:t>4~22</w:t>
                  </w:r>
                </w:p>
              </w:tc>
              <w:tc>
                <w:tcPr>
                  <w:tcW w:w="774" w:type="dxa"/>
                  <w:vAlign w:val="center"/>
                </w:tcPr>
                <w:p>
                  <w:pPr>
                    <w:adjustRightInd w:val="0"/>
                    <w:snapToGrid w:val="0"/>
                    <w:jc w:val="center"/>
                    <w:rPr>
                      <w:color w:val="000000"/>
                    </w:rPr>
                  </w:pPr>
                  <w:r>
                    <w:rPr>
                      <w:color w:val="000000"/>
                    </w:rPr>
                    <w:t>6~63</w:t>
                  </w:r>
                </w:p>
              </w:tc>
              <w:tc>
                <w:tcPr>
                  <w:tcW w:w="905" w:type="dxa"/>
                  <w:vAlign w:val="center"/>
                </w:tcPr>
                <w:p>
                  <w:pPr>
                    <w:adjustRightInd w:val="0"/>
                    <w:snapToGrid w:val="0"/>
                    <w:jc w:val="center"/>
                    <w:rPr>
                      <w:color w:val="000000"/>
                    </w:rPr>
                  </w:pPr>
                  <w:r>
                    <w:rPr>
                      <w:color w:val="000000"/>
                    </w:rPr>
                    <w:t>7~275</w:t>
                  </w:r>
                </w:p>
              </w:tc>
              <w:tc>
                <w:tcPr>
                  <w:tcW w:w="905" w:type="dxa"/>
                  <w:vAlign w:val="center"/>
                </w:tcPr>
                <w:p>
                  <w:pPr>
                    <w:adjustRightInd w:val="0"/>
                    <w:snapToGrid w:val="0"/>
                    <w:jc w:val="center"/>
                    <w:rPr>
                      <w:color w:val="000000"/>
                    </w:rPr>
                  </w:pPr>
                  <w:r>
                    <w:rPr>
                      <w:color w:val="000000"/>
                    </w:rPr>
                    <w:t>6~235</w:t>
                  </w:r>
                </w:p>
              </w:tc>
              <w:tc>
                <w:tcPr>
                  <w:tcW w:w="1391" w:type="dxa"/>
                  <w:vAlign w:val="center"/>
                </w:tcPr>
                <w:p>
                  <w:pPr>
                    <w:adjustRightInd w:val="0"/>
                    <w:snapToGrid w:val="0"/>
                    <w:jc w:val="center"/>
                    <w:rPr>
                      <w:color w:val="000000"/>
                    </w:rPr>
                  </w:pPr>
                  <w:r>
                    <w:rPr>
                      <w:color w:val="000000"/>
                    </w:rPr>
                    <w:t>0.4~2.2</w:t>
                  </w:r>
                </w:p>
              </w:tc>
              <w:tc>
                <w:tcPr>
                  <w:tcW w:w="1290" w:type="dxa"/>
                  <w:vAlign w:val="center"/>
                </w:tcPr>
                <w:p>
                  <w:pPr>
                    <w:adjustRightInd w:val="0"/>
                    <w:snapToGrid w:val="0"/>
                    <w:jc w:val="center"/>
                    <w:rPr>
                      <w:color w:val="000000"/>
                    </w:rPr>
                  </w:pPr>
                  <w:r>
                    <w:rPr>
                      <w:color w:val="000000"/>
                    </w:rPr>
                    <w:t>14~218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continue"/>
                  <w:tcMar>
                    <w:left w:w="57" w:type="dxa"/>
                    <w:right w:w="57" w:type="dxa"/>
                  </w:tcMar>
                  <w:vAlign w:val="center"/>
                </w:tcPr>
                <w:p>
                  <w:pPr>
                    <w:adjustRightInd w:val="0"/>
                    <w:snapToGrid w:val="0"/>
                    <w:jc w:val="center"/>
                    <w:rPr>
                      <w:color w:val="000000"/>
                    </w:rPr>
                  </w:pPr>
                </w:p>
              </w:tc>
              <w:tc>
                <w:tcPr>
                  <w:tcW w:w="1529" w:type="dxa"/>
                  <w:vAlign w:val="center"/>
                </w:tcPr>
                <w:p>
                  <w:pPr>
                    <w:adjustRightInd w:val="0"/>
                    <w:snapToGrid w:val="0"/>
                    <w:jc w:val="center"/>
                    <w:rPr>
                      <w:color w:val="000000"/>
                    </w:rPr>
                  </w:pPr>
                  <w:r>
                    <w:rPr>
                      <w:color w:val="000000"/>
                    </w:rPr>
                    <w:t>浓度值数量（个）</w:t>
                  </w:r>
                </w:p>
              </w:tc>
              <w:tc>
                <w:tcPr>
                  <w:tcW w:w="774" w:type="dxa"/>
                  <w:vAlign w:val="center"/>
                </w:tcPr>
                <w:p>
                  <w:pPr>
                    <w:adjustRightInd w:val="0"/>
                    <w:snapToGrid w:val="0"/>
                    <w:jc w:val="center"/>
                    <w:rPr>
                      <w:color w:val="000000"/>
                    </w:rPr>
                  </w:pPr>
                  <w:r>
                    <w:rPr>
                      <w:color w:val="000000"/>
                    </w:rPr>
                    <w:t>366</w:t>
                  </w:r>
                </w:p>
              </w:tc>
              <w:tc>
                <w:tcPr>
                  <w:tcW w:w="774" w:type="dxa"/>
                  <w:vAlign w:val="center"/>
                </w:tcPr>
                <w:p>
                  <w:pPr>
                    <w:adjustRightInd w:val="0"/>
                    <w:snapToGrid w:val="0"/>
                    <w:jc w:val="center"/>
                    <w:rPr>
                      <w:color w:val="000000"/>
                    </w:rPr>
                  </w:pPr>
                  <w:r>
                    <w:rPr>
                      <w:color w:val="000000"/>
                    </w:rPr>
                    <w:t>366</w:t>
                  </w:r>
                </w:p>
              </w:tc>
              <w:tc>
                <w:tcPr>
                  <w:tcW w:w="905" w:type="dxa"/>
                  <w:vAlign w:val="center"/>
                </w:tcPr>
                <w:p>
                  <w:pPr>
                    <w:adjustRightInd w:val="0"/>
                    <w:snapToGrid w:val="0"/>
                    <w:jc w:val="center"/>
                    <w:rPr>
                      <w:color w:val="000000"/>
                    </w:rPr>
                  </w:pPr>
                  <w:r>
                    <w:rPr>
                      <w:color w:val="000000"/>
                    </w:rPr>
                    <w:t>366</w:t>
                  </w:r>
                </w:p>
              </w:tc>
              <w:tc>
                <w:tcPr>
                  <w:tcW w:w="905" w:type="dxa"/>
                  <w:vAlign w:val="center"/>
                </w:tcPr>
                <w:p>
                  <w:pPr>
                    <w:adjustRightInd w:val="0"/>
                    <w:snapToGrid w:val="0"/>
                    <w:jc w:val="center"/>
                    <w:rPr>
                      <w:color w:val="000000"/>
                    </w:rPr>
                  </w:pPr>
                  <w:r>
                    <w:rPr>
                      <w:color w:val="000000"/>
                    </w:rPr>
                    <w:t>366</w:t>
                  </w:r>
                </w:p>
              </w:tc>
              <w:tc>
                <w:tcPr>
                  <w:tcW w:w="1391" w:type="dxa"/>
                  <w:vAlign w:val="center"/>
                </w:tcPr>
                <w:p>
                  <w:pPr>
                    <w:adjustRightInd w:val="0"/>
                    <w:snapToGrid w:val="0"/>
                    <w:jc w:val="center"/>
                    <w:rPr>
                      <w:color w:val="000000"/>
                    </w:rPr>
                  </w:pPr>
                  <w:r>
                    <w:rPr>
                      <w:color w:val="000000"/>
                    </w:rPr>
                    <w:t>366</w:t>
                  </w:r>
                </w:p>
              </w:tc>
              <w:tc>
                <w:tcPr>
                  <w:tcW w:w="1290" w:type="dxa"/>
                  <w:vAlign w:val="center"/>
                </w:tcPr>
                <w:p>
                  <w:pPr>
                    <w:adjustRightInd w:val="0"/>
                    <w:snapToGrid w:val="0"/>
                    <w:jc w:val="center"/>
                    <w:rPr>
                      <w:color w:val="000000"/>
                    </w:rPr>
                  </w:pPr>
                  <w:r>
                    <w:rPr>
                      <w:color w:val="000000"/>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continue"/>
                  <w:tcMar>
                    <w:left w:w="57" w:type="dxa"/>
                    <w:right w:w="57" w:type="dxa"/>
                  </w:tcMar>
                  <w:vAlign w:val="center"/>
                </w:tcPr>
                <w:p>
                  <w:pPr>
                    <w:adjustRightInd w:val="0"/>
                    <w:snapToGrid w:val="0"/>
                    <w:jc w:val="center"/>
                    <w:rPr>
                      <w:color w:val="000000"/>
                    </w:rPr>
                  </w:pPr>
                </w:p>
              </w:tc>
              <w:tc>
                <w:tcPr>
                  <w:tcW w:w="1529" w:type="dxa"/>
                  <w:vAlign w:val="center"/>
                </w:tcPr>
                <w:p>
                  <w:pPr>
                    <w:adjustRightInd w:val="0"/>
                    <w:snapToGrid w:val="0"/>
                    <w:jc w:val="center"/>
                    <w:rPr>
                      <w:color w:val="000000"/>
                    </w:rPr>
                  </w:pPr>
                  <w:r>
                    <w:rPr>
                      <w:color w:val="000000"/>
                    </w:rPr>
                    <w:t>相应百分位数24小时平均</w:t>
                  </w:r>
                </w:p>
              </w:tc>
              <w:tc>
                <w:tcPr>
                  <w:tcW w:w="774" w:type="dxa"/>
                  <w:vAlign w:val="center"/>
                </w:tcPr>
                <w:p>
                  <w:pPr>
                    <w:adjustRightInd w:val="0"/>
                    <w:snapToGrid w:val="0"/>
                    <w:jc w:val="center"/>
                    <w:rPr>
                      <w:color w:val="000000"/>
                    </w:rPr>
                  </w:pPr>
                  <w:r>
                    <w:rPr>
                      <w:color w:val="000000"/>
                    </w:rPr>
                    <w:t>17.3</w:t>
                  </w:r>
                </w:p>
              </w:tc>
              <w:tc>
                <w:tcPr>
                  <w:tcW w:w="774" w:type="dxa"/>
                  <w:vAlign w:val="center"/>
                </w:tcPr>
                <w:p>
                  <w:pPr>
                    <w:adjustRightInd w:val="0"/>
                    <w:snapToGrid w:val="0"/>
                    <w:jc w:val="center"/>
                    <w:rPr>
                      <w:color w:val="000000"/>
                    </w:rPr>
                  </w:pPr>
                  <w:r>
                    <w:rPr>
                      <w:color w:val="000000"/>
                    </w:rPr>
                    <w:t>52</w:t>
                  </w:r>
                </w:p>
              </w:tc>
              <w:tc>
                <w:tcPr>
                  <w:tcW w:w="905" w:type="dxa"/>
                  <w:vAlign w:val="center"/>
                </w:tcPr>
                <w:p>
                  <w:pPr>
                    <w:adjustRightInd w:val="0"/>
                    <w:snapToGrid w:val="0"/>
                    <w:jc w:val="center"/>
                    <w:rPr>
                      <w:color w:val="000000"/>
                    </w:rPr>
                  </w:pPr>
                  <w:r>
                    <w:rPr>
                      <w:color w:val="000000"/>
                    </w:rPr>
                    <w:t>179.5</w:t>
                  </w:r>
                </w:p>
              </w:tc>
              <w:tc>
                <w:tcPr>
                  <w:tcW w:w="905" w:type="dxa"/>
                  <w:vAlign w:val="center"/>
                </w:tcPr>
                <w:p>
                  <w:pPr>
                    <w:adjustRightInd w:val="0"/>
                    <w:snapToGrid w:val="0"/>
                    <w:jc w:val="center"/>
                    <w:rPr>
                      <w:color w:val="000000"/>
                    </w:rPr>
                  </w:pPr>
                  <w:r>
                    <w:rPr>
                      <w:color w:val="000000"/>
                    </w:rPr>
                    <w:t>141.8</w:t>
                  </w:r>
                </w:p>
              </w:tc>
              <w:tc>
                <w:tcPr>
                  <w:tcW w:w="1391" w:type="dxa"/>
                  <w:vAlign w:val="center"/>
                </w:tcPr>
                <w:p>
                  <w:pPr>
                    <w:adjustRightInd w:val="0"/>
                    <w:snapToGrid w:val="0"/>
                    <w:jc w:val="center"/>
                    <w:rPr>
                      <w:color w:val="000000"/>
                    </w:rPr>
                  </w:pPr>
                  <w:r>
                    <w:rPr>
                      <w:color w:val="000000"/>
                    </w:rPr>
                    <w:t>1.2</w:t>
                  </w:r>
                </w:p>
              </w:tc>
              <w:tc>
                <w:tcPr>
                  <w:tcW w:w="1290" w:type="dxa"/>
                  <w:vAlign w:val="center"/>
                </w:tcPr>
                <w:p>
                  <w:pPr>
                    <w:adjustRightInd w:val="0"/>
                    <w:snapToGrid w:val="0"/>
                    <w:jc w:val="center"/>
                    <w:rPr>
                      <w:color w:val="000000"/>
                    </w:rPr>
                  </w:pPr>
                  <w:r>
                    <w:rPr>
                      <w:color w:val="000000"/>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continue"/>
                  <w:tcMar>
                    <w:left w:w="57" w:type="dxa"/>
                    <w:right w:w="57" w:type="dxa"/>
                  </w:tcMar>
                  <w:vAlign w:val="center"/>
                </w:tcPr>
                <w:p>
                  <w:pPr>
                    <w:adjustRightInd w:val="0"/>
                    <w:snapToGrid w:val="0"/>
                    <w:jc w:val="center"/>
                    <w:rPr>
                      <w:color w:val="000000"/>
                    </w:rPr>
                  </w:pPr>
                </w:p>
              </w:tc>
              <w:tc>
                <w:tcPr>
                  <w:tcW w:w="1529" w:type="dxa"/>
                  <w:vAlign w:val="center"/>
                </w:tcPr>
                <w:p>
                  <w:pPr>
                    <w:adjustRightInd w:val="0"/>
                    <w:snapToGrid w:val="0"/>
                    <w:jc w:val="center"/>
                    <w:rPr>
                      <w:color w:val="000000"/>
                    </w:rPr>
                  </w:pPr>
                  <w:r>
                    <w:rPr>
                      <w:color w:val="000000"/>
                    </w:rPr>
                    <w:t>是否达标</w:t>
                  </w:r>
                </w:p>
              </w:tc>
              <w:tc>
                <w:tcPr>
                  <w:tcW w:w="774" w:type="dxa"/>
                  <w:vAlign w:val="center"/>
                </w:tcPr>
                <w:p>
                  <w:pPr>
                    <w:adjustRightInd w:val="0"/>
                    <w:snapToGrid w:val="0"/>
                    <w:jc w:val="center"/>
                    <w:rPr>
                      <w:color w:val="000000"/>
                    </w:rPr>
                  </w:pPr>
                  <w:r>
                    <w:rPr>
                      <w:color w:val="000000"/>
                    </w:rPr>
                    <w:t>是</w:t>
                  </w:r>
                </w:p>
              </w:tc>
              <w:tc>
                <w:tcPr>
                  <w:tcW w:w="774" w:type="dxa"/>
                  <w:vAlign w:val="center"/>
                </w:tcPr>
                <w:p>
                  <w:pPr>
                    <w:adjustRightInd w:val="0"/>
                    <w:snapToGrid w:val="0"/>
                    <w:jc w:val="center"/>
                    <w:rPr>
                      <w:color w:val="000000"/>
                    </w:rPr>
                  </w:pPr>
                  <w:r>
                    <w:rPr>
                      <w:color w:val="000000"/>
                    </w:rPr>
                    <w:t>是</w:t>
                  </w:r>
                </w:p>
              </w:tc>
              <w:tc>
                <w:tcPr>
                  <w:tcW w:w="905" w:type="dxa"/>
                  <w:vAlign w:val="center"/>
                </w:tcPr>
                <w:p>
                  <w:pPr>
                    <w:adjustRightInd w:val="0"/>
                    <w:snapToGrid w:val="0"/>
                    <w:jc w:val="center"/>
                    <w:rPr>
                      <w:color w:val="000000"/>
                    </w:rPr>
                  </w:pPr>
                  <w:r>
                    <w:rPr>
                      <w:color w:val="000000"/>
                    </w:rPr>
                    <w:t>否</w:t>
                  </w:r>
                </w:p>
              </w:tc>
              <w:tc>
                <w:tcPr>
                  <w:tcW w:w="905" w:type="dxa"/>
                  <w:vAlign w:val="center"/>
                </w:tcPr>
                <w:p>
                  <w:pPr>
                    <w:adjustRightInd w:val="0"/>
                    <w:snapToGrid w:val="0"/>
                    <w:jc w:val="center"/>
                    <w:rPr>
                      <w:color w:val="000000"/>
                    </w:rPr>
                  </w:pPr>
                  <w:r>
                    <w:rPr>
                      <w:color w:val="000000"/>
                    </w:rPr>
                    <w:t>否</w:t>
                  </w:r>
                </w:p>
              </w:tc>
              <w:tc>
                <w:tcPr>
                  <w:tcW w:w="1391" w:type="dxa"/>
                  <w:vAlign w:val="center"/>
                </w:tcPr>
                <w:p>
                  <w:pPr>
                    <w:adjustRightInd w:val="0"/>
                    <w:snapToGrid w:val="0"/>
                    <w:jc w:val="center"/>
                    <w:rPr>
                      <w:color w:val="000000"/>
                    </w:rPr>
                  </w:pPr>
                  <w:r>
                    <w:rPr>
                      <w:color w:val="000000"/>
                    </w:rPr>
                    <w:t>是</w:t>
                  </w:r>
                </w:p>
              </w:tc>
              <w:tc>
                <w:tcPr>
                  <w:tcW w:w="1290" w:type="dxa"/>
                  <w:vAlign w:val="center"/>
                </w:tcPr>
                <w:p>
                  <w:pPr>
                    <w:adjustRightInd w:val="0"/>
                    <w:snapToGrid w:val="0"/>
                    <w:jc w:val="center"/>
                    <w:rPr>
                      <w:color w:val="000000"/>
                    </w:rPr>
                  </w:pPr>
                  <w:r>
                    <w:rPr>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continue"/>
                  <w:tcMar>
                    <w:left w:w="57" w:type="dxa"/>
                    <w:right w:w="57" w:type="dxa"/>
                  </w:tcMar>
                  <w:vAlign w:val="center"/>
                </w:tcPr>
                <w:p>
                  <w:pPr>
                    <w:adjustRightInd w:val="0"/>
                    <w:snapToGrid w:val="0"/>
                    <w:jc w:val="center"/>
                    <w:rPr>
                      <w:color w:val="000000"/>
                    </w:rPr>
                  </w:pPr>
                </w:p>
              </w:tc>
              <w:tc>
                <w:tcPr>
                  <w:tcW w:w="1529" w:type="dxa"/>
                  <w:vAlign w:val="center"/>
                </w:tcPr>
                <w:p>
                  <w:pPr>
                    <w:adjustRightInd w:val="0"/>
                    <w:snapToGrid w:val="0"/>
                    <w:jc w:val="center"/>
                    <w:rPr>
                      <w:color w:val="000000"/>
                    </w:rPr>
                  </w:pPr>
                  <w:r>
                    <w:rPr>
                      <w:color w:val="000000"/>
                    </w:rPr>
                    <w:t>年均浓度</w:t>
                  </w:r>
                </w:p>
              </w:tc>
              <w:tc>
                <w:tcPr>
                  <w:tcW w:w="774" w:type="dxa"/>
                  <w:vAlign w:val="center"/>
                </w:tcPr>
                <w:p>
                  <w:pPr>
                    <w:adjustRightInd w:val="0"/>
                    <w:snapToGrid w:val="0"/>
                    <w:jc w:val="center"/>
                    <w:rPr>
                      <w:color w:val="000000"/>
                    </w:rPr>
                  </w:pPr>
                  <w:r>
                    <w:rPr>
                      <w:color w:val="000000"/>
                    </w:rPr>
                    <w:t>9.4</w:t>
                  </w:r>
                </w:p>
              </w:tc>
              <w:tc>
                <w:tcPr>
                  <w:tcW w:w="774" w:type="dxa"/>
                  <w:vAlign w:val="center"/>
                </w:tcPr>
                <w:p>
                  <w:pPr>
                    <w:adjustRightInd w:val="0"/>
                    <w:snapToGrid w:val="0"/>
                    <w:jc w:val="center"/>
                    <w:rPr>
                      <w:color w:val="000000"/>
                    </w:rPr>
                  </w:pPr>
                  <w:r>
                    <w:rPr>
                      <w:color w:val="000000"/>
                    </w:rPr>
                    <w:t>25.7</w:t>
                  </w:r>
                </w:p>
              </w:tc>
              <w:tc>
                <w:tcPr>
                  <w:tcW w:w="905" w:type="dxa"/>
                  <w:vAlign w:val="center"/>
                </w:tcPr>
                <w:p>
                  <w:pPr>
                    <w:adjustRightInd w:val="0"/>
                    <w:snapToGrid w:val="0"/>
                    <w:jc w:val="center"/>
                    <w:rPr>
                      <w:color w:val="000000"/>
                    </w:rPr>
                  </w:pPr>
                  <w:r>
                    <w:rPr>
                      <w:color w:val="000000"/>
                    </w:rPr>
                    <w:t>88</w:t>
                  </w:r>
                </w:p>
              </w:tc>
              <w:tc>
                <w:tcPr>
                  <w:tcW w:w="905" w:type="dxa"/>
                  <w:vAlign w:val="center"/>
                </w:tcPr>
                <w:p>
                  <w:pPr>
                    <w:adjustRightInd w:val="0"/>
                    <w:snapToGrid w:val="0"/>
                    <w:jc w:val="center"/>
                    <w:rPr>
                      <w:color w:val="000000"/>
                    </w:rPr>
                  </w:pPr>
                  <w:r>
                    <w:rPr>
                      <w:color w:val="000000"/>
                    </w:rPr>
                    <w:t>55.8</w:t>
                  </w:r>
                </w:p>
              </w:tc>
              <w:tc>
                <w:tcPr>
                  <w:tcW w:w="1391" w:type="dxa"/>
                  <w:vAlign w:val="center"/>
                </w:tcPr>
                <w:p>
                  <w:pPr>
                    <w:adjustRightInd w:val="0"/>
                    <w:snapToGrid w:val="0"/>
                    <w:jc w:val="center"/>
                    <w:rPr>
                      <w:color w:val="000000"/>
                    </w:rPr>
                  </w:pPr>
                  <w:r>
                    <w:rPr>
                      <w:color w:val="000000"/>
                    </w:rPr>
                    <w:t>0.8</w:t>
                  </w:r>
                </w:p>
              </w:tc>
              <w:tc>
                <w:tcPr>
                  <w:tcW w:w="1290" w:type="dxa"/>
                  <w:vAlign w:val="center"/>
                </w:tcPr>
                <w:p>
                  <w:pPr>
                    <w:adjustRightInd w:val="0"/>
                    <w:snapToGrid w:val="0"/>
                    <w:jc w:val="center"/>
                    <w:rPr>
                      <w:color w:val="000000"/>
                    </w:rPr>
                  </w:pPr>
                  <w:r>
                    <w:rPr>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continue"/>
                  <w:tcMar>
                    <w:left w:w="57" w:type="dxa"/>
                    <w:right w:w="57" w:type="dxa"/>
                  </w:tcMar>
                  <w:vAlign w:val="center"/>
                </w:tcPr>
                <w:p>
                  <w:pPr>
                    <w:adjustRightInd w:val="0"/>
                    <w:snapToGrid w:val="0"/>
                    <w:jc w:val="center"/>
                    <w:rPr>
                      <w:color w:val="000000"/>
                    </w:rPr>
                  </w:pPr>
                </w:p>
              </w:tc>
              <w:tc>
                <w:tcPr>
                  <w:tcW w:w="1529" w:type="dxa"/>
                  <w:vAlign w:val="center"/>
                </w:tcPr>
                <w:p>
                  <w:pPr>
                    <w:adjustRightInd w:val="0"/>
                    <w:snapToGrid w:val="0"/>
                    <w:jc w:val="center"/>
                    <w:rPr>
                      <w:color w:val="000000"/>
                    </w:rPr>
                  </w:pPr>
                  <w:r>
                    <w:rPr>
                      <w:color w:val="000000"/>
                    </w:rPr>
                    <w:t>是否达标</w:t>
                  </w:r>
                </w:p>
              </w:tc>
              <w:tc>
                <w:tcPr>
                  <w:tcW w:w="774" w:type="dxa"/>
                  <w:vAlign w:val="center"/>
                </w:tcPr>
                <w:p>
                  <w:pPr>
                    <w:adjustRightInd w:val="0"/>
                    <w:snapToGrid w:val="0"/>
                    <w:jc w:val="center"/>
                    <w:rPr>
                      <w:color w:val="000000"/>
                    </w:rPr>
                  </w:pPr>
                  <w:r>
                    <w:rPr>
                      <w:color w:val="000000"/>
                    </w:rPr>
                    <w:t>是</w:t>
                  </w:r>
                </w:p>
              </w:tc>
              <w:tc>
                <w:tcPr>
                  <w:tcW w:w="774" w:type="dxa"/>
                  <w:vAlign w:val="center"/>
                </w:tcPr>
                <w:p>
                  <w:pPr>
                    <w:adjustRightInd w:val="0"/>
                    <w:snapToGrid w:val="0"/>
                    <w:jc w:val="center"/>
                    <w:rPr>
                      <w:color w:val="000000"/>
                    </w:rPr>
                  </w:pPr>
                  <w:r>
                    <w:rPr>
                      <w:color w:val="000000"/>
                    </w:rPr>
                    <w:t>是</w:t>
                  </w:r>
                </w:p>
              </w:tc>
              <w:tc>
                <w:tcPr>
                  <w:tcW w:w="905" w:type="dxa"/>
                  <w:vAlign w:val="center"/>
                </w:tcPr>
                <w:p>
                  <w:pPr>
                    <w:adjustRightInd w:val="0"/>
                    <w:snapToGrid w:val="0"/>
                    <w:jc w:val="center"/>
                    <w:rPr>
                      <w:color w:val="000000"/>
                    </w:rPr>
                  </w:pPr>
                  <w:r>
                    <w:rPr>
                      <w:color w:val="000000"/>
                    </w:rPr>
                    <w:t>否</w:t>
                  </w:r>
                </w:p>
              </w:tc>
              <w:tc>
                <w:tcPr>
                  <w:tcW w:w="905" w:type="dxa"/>
                  <w:vAlign w:val="center"/>
                </w:tcPr>
                <w:p>
                  <w:pPr>
                    <w:adjustRightInd w:val="0"/>
                    <w:snapToGrid w:val="0"/>
                    <w:jc w:val="center"/>
                    <w:rPr>
                      <w:color w:val="000000"/>
                    </w:rPr>
                  </w:pPr>
                  <w:r>
                    <w:rPr>
                      <w:color w:val="000000"/>
                    </w:rPr>
                    <w:t>否</w:t>
                  </w:r>
                </w:p>
              </w:tc>
              <w:tc>
                <w:tcPr>
                  <w:tcW w:w="1391" w:type="dxa"/>
                  <w:vAlign w:val="center"/>
                </w:tcPr>
                <w:p>
                  <w:pPr>
                    <w:adjustRightInd w:val="0"/>
                    <w:snapToGrid w:val="0"/>
                    <w:jc w:val="center"/>
                    <w:rPr>
                      <w:color w:val="000000"/>
                    </w:rPr>
                  </w:pPr>
                  <w:r>
                    <w:rPr>
                      <w:color w:val="000000"/>
                    </w:rPr>
                    <w:t>/</w:t>
                  </w:r>
                </w:p>
              </w:tc>
              <w:tc>
                <w:tcPr>
                  <w:tcW w:w="1290" w:type="dxa"/>
                  <w:vAlign w:val="center"/>
                </w:tcPr>
                <w:p>
                  <w:pPr>
                    <w:adjustRightInd w:val="0"/>
                    <w:snapToGrid w:val="0"/>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restart"/>
                  <w:tcMar>
                    <w:left w:w="57" w:type="dxa"/>
                    <w:right w:w="57" w:type="dxa"/>
                  </w:tcMar>
                  <w:vAlign w:val="center"/>
                </w:tcPr>
                <w:p>
                  <w:pPr>
                    <w:adjustRightInd w:val="0"/>
                    <w:snapToGrid w:val="0"/>
                    <w:jc w:val="center"/>
                    <w:rPr>
                      <w:color w:val="000000"/>
                    </w:rPr>
                  </w:pPr>
                  <w:r>
                    <w:rPr>
                      <w:color w:val="000000"/>
                    </w:rPr>
                    <w:t>标准</w:t>
                  </w:r>
                </w:p>
                <w:p>
                  <w:pPr>
                    <w:adjustRightInd w:val="0"/>
                    <w:snapToGrid w:val="0"/>
                    <w:jc w:val="center"/>
                    <w:rPr>
                      <w:color w:val="000000"/>
                    </w:rPr>
                  </w:pPr>
                  <w:r>
                    <w:rPr>
                      <w:color w:val="000000"/>
                    </w:rPr>
                    <w:t>限值</w:t>
                  </w:r>
                </w:p>
              </w:tc>
              <w:tc>
                <w:tcPr>
                  <w:tcW w:w="1529" w:type="dxa"/>
                  <w:vAlign w:val="center"/>
                </w:tcPr>
                <w:p>
                  <w:pPr>
                    <w:adjustRightInd w:val="0"/>
                    <w:snapToGrid w:val="0"/>
                    <w:jc w:val="center"/>
                    <w:rPr>
                      <w:color w:val="000000"/>
                    </w:rPr>
                  </w:pPr>
                  <w:r>
                    <w:rPr>
                      <w:color w:val="000000"/>
                    </w:rPr>
                    <w:t>24小时平均</w:t>
                  </w:r>
                </w:p>
              </w:tc>
              <w:tc>
                <w:tcPr>
                  <w:tcW w:w="774" w:type="dxa"/>
                  <w:vAlign w:val="center"/>
                </w:tcPr>
                <w:p>
                  <w:pPr>
                    <w:adjustRightInd w:val="0"/>
                    <w:snapToGrid w:val="0"/>
                    <w:jc w:val="center"/>
                    <w:rPr>
                      <w:color w:val="000000"/>
                    </w:rPr>
                  </w:pPr>
                  <w:r>
                    <w:rPr>
                      <w:color w:val="000000"/>
                    </w:rPr>
                    <w:t>150</w:t>
                  </w:r>
                </w:p>
              </w:tc>
              <w:tc>
                <w:tcPr>
                  <w:tcW w:w="774" w:type="dxa"/>
                  <w:vAlign w:val="center"/>
                </w:tcPr>
                <w:p>
                  <w:pPr>
                    <w:adjustRightInd w:val="0"/>
                    <w:snapToGrid w:val="0"/>
                    <w:jc w:val="center"/>
                    <w:rPr>
                      <w:color w:val="000000"/>
                    </w:rPr>
                  </w:pPr>
                  <w:r>
                    <w:rPr>
                      <w:color w:val="000000"/>
                    </w:rPr>
                    <w:t>80</w:t>
                  </w:r>
                </w:p>
              </w:tc>
              <w:tc>
                <w:tcPr>
                  <w:tcW w:w="905" w:type="dxa"/>
                  <w:vAlign w:val="center"/>
                </w:tcPr>
                <w:p>
                  <w:pPr>
                    <w:adjustRightInd w:val="0"/>
                    <w:snapToGrid w:val="0"/>
                    <w:jc w:val="center"/>
                    <w:rPr>
                      <w:color w:val="000000"/>
                    </w:rPr>
                  </w:pPr>
                  <w:r>
                    <w:rPr>
                      <w:color w:val="000000"/>
                    </w:rPr>
                    <w:t>150</w:t>
                  </w:r>
                </w:p>
              </w:tc>
              <w:tc>
                <w:tcPr>
                  <w:tcW w:w="905" w:type="dxa"/>
                  <w:vAlign w:val="center"/>
                </w:tcPr>
                <w:p>
                  <w:pPr>
                    <w:adjustRightInd w:val="0"/>
                    <w:snapToGrid w:val="0"/>
                    <w:jc w:val="center"/>
                    <w:rPr>
                      <w:color w:val="000000"/>
                    </w:rPr>
                  </w:pPr>
                  <w:r>
                    <w:rPr>
                      <w:color w:val="000000"/>
                    </w:rPr>
                    <w:t>75</w:t>
                  </w:r>
                </w:p>
              </w:tc>
              <w:tc>
                <w:tcPr>
                  <w:tcW w:w="1391" w:type="dxa"/>
                  <w:vAlign w:val="center"/>
                </w:tcPr>
                <w:p>
                  <w:pPr>
                    <w:adjustRightInd w:val="0"/>
                    <w:snapToGrid w:val="0"/>
                    <w:jc w:val="center"/>
                    <w:rPr>
                      <w:color w:val="000000"/>
                    </w:rPr>
                  </w:pPr>
                  <w:r>
                    <w:rPr>
                      <w:color w:val="000000"/>
                    </w:rPr>
                    <w:t>4</w:t>
                  </w:r>
                </w:p>
              </w:tc>
              <w:tc>
                <w:tcPr>
                  <w:tcW w:w="1290" w:type="dxa"/>
                  <w:vAlign w:val="center"/>
                </w:tcPr>
                <w:p>
                  <w:pPr>
                    <w:adjustRightInd w:val="0"/>
                    <w:snapToGrid w:val="0"/>
                    <w:jc w:val="center"/>
                    <w:rPr>
                      <w:color w:val="000000"/>
                    </w:rPr>
                  </w:pPr>
                  <w:r>
                    <w:rPr>
                      <w:color w:val="00000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03" w:type="dxa"/>
                  <w:vMerge w:val="continue"/>
                  <w:tcBorders>
                    <w:bottom w:val="single" w:color="auto" w:sz="4" w:space="0"/>
                  </w:tcBorders>
                  <w:tcMar>
                    <w:left w:w="57" w:type="dxa"/>
                    <w:right w:w="57" w:type="dxa"/>
                  </w:tcMar>
                  <w:vAlign w:val="center"/>
                </w:tcPr>
                <w:p>
                  <w:pPr>
                    <w:adjustRightInd w:val="0"/>
                    <w:snapToGrid w:val="0"/>
                    <w:jc w:val="center"/>
                    <w:rPr>
                      <w:color w:val="000000"/>
                    </w:rPr>
                  </w:pPr>
                </w:p>
              </w:tc>
              <w:tc>
                <w:tcPr>
                  <w:tcW w:w="1529" w:type="dxa"/>
                  <w:tcBorders>
                    <w:bottom w:val="single" w:color="auto" w:sz="4" w:space="0"/>
                  </w:tcBorders>
                  <w:vAlign w:val="center"/>
                </w:tcPr>
                <w:p>
                  <w:pPr>
                    <w:adjustRightInd w:val="0"/>
                    <w:snapToGrid w:val="0"/>
                    <w:jc w:val="center"/>
                    <w:rPr>
                      <w:color w:val="000000"/>
                    </w:rPr>
                  </w:pPr>
                  <w:r>
                    <w:rPr>
                      <w:color w:val="000000"/>
                    </w:rPr>
                    <w:t>年平均</w:t>
                  </w:r>
                </w:p>
              </w:tc>
              <w:tc>
                <w:tcPr>
                  <w:tcW w:w="774" w:type="dxa"/>
                  <w:tcBorders>
                    <w:bottom w:val="single" w:color="auto" w:sz="4" w:space="0"/>
                  </w:tcBorders>
                  <w:vAlign w:val="center"/>
                </w:tcPr>
                <w:p>
                  <w:pPr>
                    <w:adjustRightInd w:val="0"/>
                    <w:snapToGrid w:val="0"/>
                    <w:jc w:val="center"/>
                    <w:rPr>
                      <w:color w:val="000000"/>
                    </w:rPr>
                  </w:pPr>
                  <w:r>
                    <w:rPr>
                      <w:color w:val="000000"/>
                    </w:rPr>
                    <w:t>60</w:t>
                  </w:r>
                </w:p>
              </w:tc>
              <w:tc>
                <w:tcPr>
                  <w:tcW w:w="774" w:type="dxa"/>
                  <w:tcBorders>
                    <w:bottom w:val="single" w:color="auto" w:sz="4" w:space="0"/>
                  </w:tcBorders>
                  <w:vAlign w:val="center"/>
                </w:tcPr>
                <w:p>
                  <w:pPr>
                    <w:adjustRightInd w:val="0"/>
                    <w:snapToGrid w:val="0"/>
                    <w:jc w:val="center"/>
                    <w:rPr>
                      <w:color w:val="000000"/>
                    </w:rPr>
                  </w:pPr>
                  <w:r>
                    <w:rPr>
                      <w:color w:val="000000"/>
                    </w:rPr>
                    <w:t>40</w:t>
                  </w:r>
                </w:p>
              </w:tc>
              <w:tc>
                <w:tcPr>
                  <w:tcW w:w="905" w:type="dxa"/>
                  <w:tcBorders>
                    <w:bottom w:val="single" w:color="auto" w:sz="4" w:space="0"/>
                  </w:tcBorders>
                  <w:vAlign w:val="center"/>
                </w:tcPr>
                <w:p>
                  <w:pPr>
                    <w:adjustRightInd w:val="0"/>
                    <w:snapToGrid w:val="0"/>
                    <w:jc w:val="center"/>
                    <w:rPr>
                      <w:color w:val="000000"/>
                    </w:rPr>
                  </w:pPr>
                  <w:r>
                    <w:rPr>
                      <w:color w:val="000000"/>
                    </w:rPr>
                    <w:t>70</w:t>
                  </w:r>
                </w:p>
              </w:tc>
              <w:tc>
                <w:tcPr>
                  <w:tcW w:w="905" w:type="dxa"/>
                  <w:tcBorders>
                    <w:bottom w:val="single" w:color="auto" w:sz="4" w:space="0"/>
                  </w:tcBorders>
                  <w:vAlign w:val="center"/>
                </w:tcPr>
                <w:p>
                  <w:pPr>
                    <w:adjustRightInd w:val="0"/>
                    <w:snapToGrid w:val="0"/>
                    <w:jc w:val="center"/>
                    <w:rPr>
                      <w:color w:val="000000"/>
                    </w:rPr>
                  </w:pPr>
                  <w:r>
                    <w:rPr>
                      <w:color w:val="000000"/>
                    </w:rPr>
                    <w:t>35</w:t>
                  </w:r>
                </w:p>
              </w:tc>
              <w:tc>
                <w:tcPr>
                  <w:tcW w:w="1391" w:type="dxa"/>
                  <w:tcBorders>
                    <w:bottom w:val="single" w:color="auto" w:sz="4" w:space="0"/>
                  </w:tcBorders>
                  <w:vAlign w:val="center"/>
                </w:tcPr>
                <w:p>
                  <w:pPr>
                    <w:adjustRightInd w:val="0"/>
                    <w:snapToGrid w:val="0"/>
                    <w:jc w:val="center"/>
                    <w:rPr>
                      <w:color w:val="000000"/>
                    </w:rPr>
                  </w:pPr>
                  <w:r>
                    <w:rPr>
                      <w:color w:val="000000"/>
                    </w:rPr>
                    <w:t>/</w:t>
                  </w:r>
                </w:p>
              </w:tc>
              <w:tc>
                <w:tcPr>
                  <w:tcW w:w="1290" w:type="dxa"/>
                  <w:tcBorders>
                    <w:bottom w:val="single" w:color="auto" w:sz="4" w:space="0"/>
                  </w:tcBorders>
                  <w:vAlign w:val="center"/>
                </w:tcPr>
                <w:p>
                  <w:pPr>
                    <w:adjustRightInd w:val="0"/>
                    <w:snapToGrid w:val="0"/>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471" w:type="dxa"/>
                  <w:gridSpan w:val="8"/>
                  <w:tcMar>
                    <w:left w:w="57" w:type="dxa"/>
                    <w:right w:w="57" w:type="dxa"/>
                  </w:tcMar>
                  <w:vAlign w:val="center"/>
                </w:tcPr>
                <w:p>
                  <w:pPr>
                    <w:adjustRightInd w:val="0"/>
                    <w:snapToGrid w:val="0"/>
                    <w:jc w:val="left"/>
                    <w:rPr>
                      <w:color w:val="000000"/>
                      <w:szCs w:val="21"/>
                    </w:rPr>
                  </w:pPr>
                  <w:r>
                    <w:rPr>
                      <w:color w:val="000000"/>
                      <w:szCs w:val="21"/>
                    </w:rPr>
                    <w:t>备注：相应百分位数质量浓度，SO</w:t>
                  </w:r>
                  <w:r>
                    <w:rPr>
                      <w:color w:val="000000"/>
                      <w:szCs w:val="21"/>
                      <w:vertAlign w:val="subscript"/>
                    </w:rPr>
                    <w:t>2</w:t>
                  </w:r>
                  <w:r>
                    <w:rPr>
                      <w:color w:val="000000"/>
                      <w:szCs w:val="21"/>
                    </w:rPr>
                    <w:t>、NO</w:t>
                  </w:r>
                  <w:r>
                    <w:rPr>
                      <w:color w:val="000000"/>
                      <w:szCs w:val="21"/>
                      <w:vertAlign w:val="subscript"/>
                    </w:rPr>
                    <w:t>2</w:t>
                  </w:r>
                  <w:r>
                    <w:rPr>
                      <w:color w:val="000000"/>
                      <w:szCs w:val="21"/>
                    </w:rPr>
                    <w:t>为第98百分位数24小时平均浓度，PM</w:t>
                  </w:r>
                  <w:r>
                    <w:rPr>
                      <w:color w:val="000000"/>
                      <w:szCs w:val="21"/>
                      <w:vertAlign w:val="subscript"/>
                    </w:rPr>
                    <w:t>10</w:t>
                  </w:r>
                  <w:r>
                    <w:rPr>
                      <w:color w:val="000000"/>
                      <w:szCs w:val="21"/>
                    </w:rPr>
                    <w:t>、PM</w:t>
                  </w:r>
                  <w:r>
                    <w:rPr>
                      <w:color w:val="000000"/>
                      <w:szCs w:val="21"/>
                      <w:vertAlign w:val="subscript"/>
                    </w:rPr>
                    <w:t>2.5</w:t>
                  </w:r>
                  <w:r>
                    <w:rPr>
                      <w:color w:val="000000"/>
                      <w:szCs w:val="21"/>
                    </w:rPr>
                    <w:t>、CO为第95百分位数24小时平均浓度，O</w:t>
                  </w:r>
                  <w:r>
                    <w:rPr>
                      <w:color w:val="000000"/>
                      <w:szCs w:val="21"/>
                      <w:vertAlign w:val="subscript"/>
                    </w:rPr>
                    <w:t>3</w:t>
                  </w:r>
                  <w:r>
                    <w:rPr>
                      <w:color w:val="000000"/>
                      <w:szCs w:val="21"/>
                    </w:rPr>
                    <w:t>为第90百分位数日最大8小时平均浓度。</w:t>
                  </w:r>
                </w:p>
              </w:tc>
            </w:tr>
          </w:tbl>
          <w:p>
            <w:pPr>
              <w:adjustRightInd w:val="0"/>
              <w:snapToGrid w:val="0"/>
              <w:spacing w:line="360" w:lineRule="auto"/>
              <w:ind w:firstLine="480" w:firstLineChars="200"/>
              <w:jc w:val="left"/>
              <w:rPr>
                <w:color w:val="000000"/>
                <w:sz w:val="24"/>
              </w:rPr>
            </w:pPr>
            <w:r>
              <w:rPr>
                <w:color w:val="000000"/>
                <w:sz w:val="24"/>
              </w:rPr>
              <w:t>由监测统计结果可知，2020年度项目所在区域环境空气SO</w:t>
            </w:r>
            <w:r>
              <w:rPr>
                <w:color w:val="000000"/>
                <w:sz w:val="24"/>
                <w:vertAlign w:val="subscript"/>
              </w:rPr>
              <w:t>2</w:t>
            </w:r>
            <w:r>
              <w:rPr>
                <w:color w:val="000000"/>
                <w:sz w:val="24"/>
              </w:rPr>
              <w:t>、CO、NO</w:t>
            </w:r>
            <w:r>
              <w:rPr>
                <w:color w:val="000000"/>
                <w:sz w:val="24"/>
                <w:vertAlign w:val="subscript"/>
              </w:rPr>
              <w:t>2</w:t>
            </w:r>
            <w:r>
              <w:rPr>
                <w:color w:val="000000"/>
                <w:sz w:val="24"/>
              </w:rPr>
              <w:t xml:space="preserve"> 24小时、O</w:t>
            </w:r>
            <w:r>
              <w:rPr>
                <w:color w:val="000000"/>
                <w:sz w:val="24"/>
                <w:vertAlign w:val="subscript"/>
              </w:rPr>
              <w:t>3</w:t>
            </w:r>
            <w:r>
              <w:rPr>
                <w:color w:val="000000"/>
              </w:rPr>
              <w:t>日</w:t>
            </w:r>
            <w:r>
              <w:rPr>
                <w:color w:val="000000"/>
                <w:sz w:val="24"/>
              </w:rPr>
              <w:t>最大8小时和相应百分位数指标均能够满足《环境空气质量标准》(GB3095-2012)中二级标准的要求，但PM</w:t>
            </w:r>
            <w:r>
              <w:rPr>
                <w:color w:val="000000"/>
                <w:sz w:val="24"/>
                <w:vertAlign w:val="subscript"/>
              </w:rPr>
              <w:t>10</w:t>
            </w:r>
            <w:r>
              <w:rPr>
                <w:color w:val="000000"/>
                <w:sz w:val="24"/>
              </w:rPr>
              <w:t>、PM</w:t>
            </w:r>
            <w:r>
              <w:rPr>
                <w:color w:val="000000"/>
                <w:sz w:val="24"/>
                <w:vertAlign w:val="subscript"/>
              </w:rPr>
              <w:t>2.5</w:t>
            </w:r>
            <w:r>
              <w:rPr>
                <w:color w:val="000000"/>
                <w:sz w:val="24"/>
              </w:rPr>
              <w:t>24小时和相应百分位数指标均不能够满足《环境空气质量标准》（GB3095-2012）二级标准的要求，因此判定项目所在评价区域为不达标区。</w:t>
            </w:r>
          </w:p>
          <w:p>
            <w:pPr>
              <w:pStyle w:val="7"/>
              <w:spacing w:line="360" w:lineRule="auto"/>
              <w:ind w:left="210" w:right="210" w:firstLine="480"/>
              <w:rPr>
                <w:color w:val="000000"/>
                <w:sz w:val="24"/>
              </w:rPr>
            </w:pPr>
          </w:p>
          <w:p/>
          <w:p>
            <w:pPr>
              <w:pStyle w:val="5"/>
              <w:adjustRightInd w:val="0"/>
              <w:spacing w:before="120" w:beforeLines="50" w:after="0" w:line="360" w:lineRule="auto"/>
              <w:ind w:right="0"/>
              <w:rPr>
                <w:b/>
                <w:spacing w:val="2"/>
                <w:sz w:val="24"/>
                <w:szCs w:val="24"/>
              </w:rPr>
            </w:pPr>
            <w:r>
              <w:rPr>
                <w:b/>
                <w:spacing w:val="2"/>
                <w:sz w:val="24"/>
                <w:szCs w:val="24"/>
              </w:rPr>
              <w:t>2、地表水</w:t>
            </w:r>
          </w:p>
          <w:p>
            <w:pPr>
              <w:pStyle w:val="5"/>
              <w:adjustRightInd w:val="0"/>
              <w:spacing w:before="0" w:after="0" w:line="360" w:lineRule="auto"/>
              <w:ind w:right="0" w:firstLine="488" w:firstLineChars="200"/>
              <w:rPr>
                <w:rFonts w:hAnsi="宋体"/>
                <w:spacing w:val="2"/>
                <w:sz w:val="24"/>
                <w:szCs w:val="24"/>
              </w:rPr>
            </w:pPr>
            <w:r>
              <w:rPr>
                <w:rFonts w:hAnsi="宋体"/>
                <w:spacing w:val="2"/>
                <w:sz w:val="24"/>
                <w:szCs w:val="24"/>
              </w:rPr>
              <w:t>项目所在区域主要地表水体为颍河，颍河漯河段水体功能区划为《地表水环境质量标准》（GB3838-2002）</w:t>
            </w:r>
            <w:r>
              <w:rPr>
                <w:rFonts w:hAnsi="宋体"/>
                <w:spacing w:val="2"/>
                <w:sz w:val="24"/>
                <w:szCs w:val="24"/>
              </w:rPr>
              <w:fldChar w:fldCharType="begin"/>
            </w:r>
            <w:r>
              <w:rPr>
                <w:rFonts w:hAnsi="宋体"/>
                <w:spacing w:val="2"/>
                <w:sz w:val="24"/>
                <w:szCs w:val="24"/>
              </w:rPr>
              <w:instrText xml:space="preserve"> = 3 \* ROMAN \* MERGEFORMAT </w:instrText>
            </w:r>
            <w:r>
              <w:rPr>
                <w:rFonts w:hAnsi="宋体"/>
                <w:spacing w:val="2"/>
                <w:sz w:val="24"/>
                <w:szCs w:val="24"/>
              </w:rPr>
              <w:fldChar w:fldCharType="separate"/>
            </w:r>
            <w:r>
              <w:rPr>
                <w:rFonts w:hAnsi="宋体"/>
                <w:spacing w:val="2"/>
                <w:sz w:val="24"/>
                <w:szCs w:val="24"/>
              </w:rPr>
              <w:t>III</w:t>
            </w:r>
            <w:r>
              <w:rPr>
                <w:rFonts w:hAnsi="宋体"/>
                <w:spacing w:val="2"/>
                <w:sz w:val="24"/>
                <w:szCs w:val="24"/>
              </w:rPr>
              <w:fldChar w:fldCharType="end"/>
            </w:r>
            <w:r>
              <w:rPr>
                <w:rFonts w:hAnsi="宋体"/>
                <w:spacing w:val="2"/>
                <w:sz w:val="24"/>
                <w:szCs w:val="24"/>
              </w:rPr>
              <w:t>类。评价引用漯河市环境监测中心站2020年1~5月对西华址坊断面常规监测数据。地表水环境质量现状监测分析结果见表</w:t>
            </w:r>
            <w:r>
              <w:rPr>
                <w:rFonts w:hint="eastAsia" w:hAnsi="宋体"/>
                <w:spacing w:val="2"/>
                <w:sz w:val="24"/>
                <w:szCs w:val="24"/>
              </w:rPr>
              <w:t>3-2</w:t>
            </w:r>
            <w:r>
              <w:rPr>
                <w:rFonts w:hAnsi="宋体"/>
                <w:spacing w:val="2"/>
                <w:sz w:val="24"/>
                <w:szCs w:val="24"/>
              </w:rPr>
              <w:t>。</w:t>
            </w:r>
          </w:p>
          <w:p>
            <w:pPr>
              <w:spacing w:before="120" w:beforeLines="50" w:after="120" w:afterLines="50" w:line="240" w:lineRule="atLeast"/>
              <w:jc w:val="center"/>
              <w:rPr>
                <w:rFonts w:eastAsia="黑体"/>
                <w:color w:val="000000"/>
                <w:sz w:val="24"/>
              </w:rPr>
            </w:pPr>
            <w:r>
              <w:rPr>
                <w:rFonts w:eastAsia="黑体"/>
                <w:color w:val="000000"/>
                <w:sz w:val="24"/>
              </w:rPr>
              <w:t>表</w:t>
            </w:r>
            <w:r>
              <w:rPr>
                <w:rFonts w:hint="eastAsia" w:eastAsia="黑体"/>
                <w:color w:val="000000"/>
                <w:sz w:val="24"/>
              </w:rPr>
              <w:t>3-2</w:t>
            </w:r>
            <w:r>
              <w:rPr>
                <w:rFonts w:eastAsia="黑体"/>
                <w:color w:val="000000"/>
                <w:sz w:val="24"/>
              </w:rPr>
              <w:t xml:space="preserve">   颍河西华址坊监测断面数据汇总表 </w:t>
            </w:r>
            <w:r>
              <w:rPr>
                <w:rFonts w:hint="eastAsia" w:eastAsia="黑体"/>
                <w:color w:val="000000"/>
                <w:sz w:val="24"/>
              </w:rPr>
              <w:t xml:space="preserve">       </w:t>
            </w:r>
            <w:r>
              <w:rPr>
                <w:rFonts w:eastAsia="黑体"/>
                <w:color w:val="000000"/>
                <w:sz w:val="24"/>
              </w:rPr>
              <w:t>单位：mg/L</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638"/>
              <w:gridCol w:w="1638"/>
              <w:gridCol w:w="1638"/>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pStyle w:val="47"/>
                    <w:spacing w:line="360" w:lineRule="exact"/>
                    <w:rPr>
                      <w:rFonts w:eastAsia="宋体"/>
                      <w:sz w:val="18"/>
                      <w:szCs w:val="18"/>
                    </w:rPr>
                  </w:pPr>
                  <w:r>
                    <w:rPr>
                      <w:rFonts w:eastAsia="宋体"/>
                      <w:sz w:val="18"/>
                      <w:szCs w:val="18"/>
                    </w:rPr>
                    <w:t>断面</w:t>
                  </w:r>
                </w:p>
              </w:tc>
              <w:tc>
                <w:tcPr>
                  <w:tcW w:w="1000" w:type="pct"/>
                  <w:vAlign w:val="center"/>
                </w:tcPr>
                <w:p>
                  <w:pPr>
                    <w:pStyle w:val="47"/>
                    <w:spacing w:line="360" w:lineRule="exact"/>
                    <w:rPr>
                      <w:rFonts w:eastAsia="宋体"/>
                      <w:sz w:val="18"/>
                      <w:szCs w:val="18"/>
                    </w:rPr>
                  </w:pPr>
                  <w:r>
                    <w:rPr>
                      <w:rFonts w:eastAsia="宋体"/>
                      <w:sz w:val="18"/>
                      <w:szCs w:val="18"/>
                    </w:rPr>
                    <w:t>采样日期</w:t>
                  </w:r>
                </w:p>
              </w:tc>
              <w:tc>
                <w:tcPr>
                  <w:tcW w:w="1000" w:type="pct"/>
                  <w:vAlign w:val="center"/>
                </w:tcPr>
                <w:p>
                  <w:pPr>
                    <w:spacing w:line="360" w:lineRule="exact"/>
                    <w:jc w:val="center"/>
                    <w:rPr>
                      <w:sz w:val="18"/>
                      <w:szCs w:val="18"/>
                    </w:rPr>
                  </w:pPr>
                  <w:r>
                    <w:rPr>
                      <w:sz w:val="18"/>
                      <w:szCs w:val="18"/>
                    </w:rPr>
                    <w:t>COD</w:t>
                  </w:r>
                </w:p>
              </w:tc>
              <w:tc>
                <w:tcPr>
                  <w:tcW w:w="1000" w:type="pct"/>
                  <w:vAlign w:val="center"/>
                </w:tcPr>
                <w:p>
                  <w:pPr>
                    <w:spacing w:line="360" w:lineRule="exact"/>
                    <w:jc w:val="center"/>
                    <w:rPr>
                      <w:sz w:val="18"/>
                      <w:szCs w:val="18"/>
                    </w:rPr>
                  </w:pPr>
                  <w:r>
                    <w:rPr>
                      <w:sz w:val="18"/>
                      <w:szCs w:val="18"/>
                    </w:rPr>
                    <w:t>氨氮</w:t>
                  </w:r>
                </w:p>
              </w:tc>
              <w:tc>
                <w:tcPr>
                  <w:tcW w:w="1000" w:type="pct"/>
                  <w:vAlign w:val="center"/>
                </w:tcPr>
                <w:p>
                  <w:pPr>
                    <w:spacing w:line="360" w:lineRule="exact"/>
                    <w:jc w:val="center"/>
                    <w:rPr>
                      <w:sz w:val="18"/>
                      <w:szCs w:val="18"/>
                    </w:rPr>
                  </w:pPr>
                  <w:r>
                    <w:rPr>
                      <w:sz w:val="18"/>
                      <w:szCs w:val="18"/>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restart"/>
                  <w:vAlign w:val="center"/>
                </w:tcPr>
                <w:p>
                  <w:pPr>
                    <w:pStyle w:val="47"/>
                    <w:spacing w:line="360" w:lineRule="exact"/>
                    <w:rPr>
                      <w:rFonts w:eastAsia="宋体"/>
                      <w:sz w:val="18"/>
                      <w:szCs w:val="18"/>
                    </w:rPr>
                  </w:pPr>
                  <w:r>
                    <w:rPr>
                      <w:rFonts w:eastAsia="宋体"/>
                      <w:sz w:val="18"/>
                      <w:szCs w:val="18"/>
                    </w:rPr>
                    <w:t>2020年1~5月颍河-西华址坊断面</w:t>
                  </w:r>
                </w:p>
              </w:tc>
              <w:tc>
                <w:tcPr>
                  <w:tcW w:w="1000" w:type="pct"/>
                  <w:vAlign w:val="center"/>
                </w:tcPr>
                <w:p>
                  <w:pPr>
                    <w:pStyle w:val="47"/>
                    <w:spacing w:line="360" w:lineRule="exact"/>
                    <w:rPr>
                      <w:rFonts w:eastAsia="宋体"/>
                      <w:sz w:val="18"/>
                      <w:szCs w:val="18"/>
                    </w:rPr>
                  </w:pPr>
                  <w:r>
                    <w:rPr>
                      <w:rFonts w:eastAsia="宋体"/>
                      <w:sz w:val="18"/>
                      <w:szCs w:val="18"/>
                    </w:rPr>
                    <w:t>2020-01</w:t>
                  </w:r>
                </w:p>
              </w:tc>
              <w:tc>
                <w:tcPr>
                  <w:tcW w:w="1000" w:type="pct"/>
                  <w:vAlign w:val="center"/>
                </w:tcPr>
                <w:p>
                  <w:pPr>
                    <w:spacing w:line="360" w:lineRule="exact"/>
                    <w:jc w:val="center"/>
                    <w:rPr>
                      <w:sz w:val="18"/>
                      <w:szCs w:val="18"/>
                    </w:rPr>
                  </w:pPr>
                  <w:r>
                    <w:rPr>
                      <w:sz w:val="18"/>
                      <w:szCs w:val="18"/>
                    </w:rPr>
                    <w:t>20</w:t>
                  </w:r>
                </w:p>
              </w:tc>
              <w:tc>
                <w:tcPr>
                  <w:tcW w:w="1000" w:type="pct"/>
                  <w:vAlign w:val="center"/>
                </w:tcPr>
                <w:p>
                  <w:pPr>
                    <w:spacing w:line="360" w:lineRule="exact"/>
                    <w:jc w:val="center"/>
                    <w:rPr>
                      <w:sz w:val="18"/>
                      <w:szCs w:val="18"/>
                    </w:rPr>
                  </w:pPr>
                  <w:r>
                    <w:rPr>
                      <w:sz w:val="18"/>
                      <w:szCs w:val="18"/>
                    </w:rPr>
                    <w:t>0.43</w:t>
                  </w:r>
                </w:p>
              </w:tc>
              <w:tc>
                <w:tcPr>
                  <w:tcW w:w="1000" w:type="pct"/>
                  <w:vAlign w:val="center"/>
                </w:tcPr>
                <w:p>
                  <w:pPr>
                    <w:spacing w:line="360" w:lineRule="exact"/>
                    <w:jc w:val="center"/>
                    <w:rPr>
                      <w:sz w:val="18"/>
                      <w:szCs w:val="18"/>
                    </w:rPr>
                  </w:pPr>
                  <w:r>
                    <w:rPr>
                      <w:sz w:val="18"/>
                      <w:szCs w:val="18"/>
                    </w:rPr>
                    <w:t>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47"/>
                    <w:spacing w:line="360" w:lineRule="exact"/>
                    <w:rPr>
                      <w:rFonts w:eastAsia="宋体"/>
                      <w:sz w:val="18"/>
                      <w:szCs w:val="18"/>
                    </w:rPr>
                  </w:pPr>
                </w:p>
              </w:tc>
              <w:tc>
                <w:tcPr>
                  <w:tcW w:w="1000" w:type="pct"/>
                  <w:vAlign w:val="center"/>
                </w:tcPr>
                <w:p>
                  <w:pPr>
                    <w:pStyle w:val="47"/>
                    <w:spacing w:line="360" w:lineRule="exact"/>
                    <w:rPr>
                      <w:rFonts w:eastAsia="宋体"/>
                      <w:sz w:val="18"/>
                      <w:szCs w:val="18"/>
                    </w:rPr>
                  </w:pPr>
                  <w:r>
                    <w:rPr>
                      <w:rFonts w:eastAsia="宋体"/>
                      <w:sz w:val="18"/>
                      <w:szCs w:val="18"/>
                    </w:rPr>
                    <w:t>2020-02</w:t>
                  </w:r>
                </w:p>
              </w:tc>
              <w:tc>
                <w:tcPr>
                  <w:tcW w:w="1000" w:type="pct"/>
                  <w:vAlign w:val="center"/>
                </w:tcPr>
                <w:p>
                  <w:pPr>
                    <w:spacing w:line="360" w:lineRule="exact"/>
                    <w:jc w:val="center"/>
                    <w:rPr>
                      <w:sz w:val="18"/>
                      <w:szCs w:val="18"/>
                    </w:rPr>
                  </w:pPr>
                  <w:r>
                    <w:rPr>
                      <w:sz w:val="18"/>
                      <w:szCs w:val="18"/>
                    </w:rPr>
                    <w:t>20</w:t>
                  </w:r>
                </w:p>
              </w:tc>
              <w:tc>
                <w:tcPr>
                  <w:tcW w:w="1000" w:type="pct"/>
                  <w:vAlign w:val="center"/>
                </w:tcPr>
                <w:p>
                  <w:pPr>
                    <w:spacing w:line="360" w:lineRule="exact"/>
                    <w:jc w:val="center"/>
                    <w:rPr>
                      <w:sz w:val="18"/>
                      <w:szCs w:val="18"/>
                    </w:rPr>
                  </w:pPr>
                  <w:r>
                    <w:rPr>
                      <w:sz w:val="18"/>
                      <w:szCs w:val="18"/>
                    </w:rPr>
                    <w:t>0.12</w:t>
                  </w:r>
                </w:p>
              </w:tc>
              <w:tc>
                <w:tcPr>
                  <w:tcW w:w="1000" w:type="pct"/>
                  <w:vAlign w:val="center"/>
                </w:tcPr>
                <w:p>
                  <w:pPr>
                    <w:spacing w:line="360" w:lineRule="exact"/>
                    <w:jc w:val="center"/>
                    <w:rPr>
                      <w:sz w:val="18"/>
                      <w:szCs w:val="18"/>
                    </w:rPr>
                  </w:pPr>
                  <w:r>
                    <w:rPr>
                      <w:sz w:val="18"/>
                      <w:szCs w:val="18"/>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47"/>
                    <w:spacing w:line="360" w:lineRule="exact"/>
                    <w:rPr>
                      <w:rFonts w:eastAsia="宋体"/>
                      <w:sz w:val="18"/>
                      <w:szCs w:val="18"/>
                    </w:rPr>
                  </w:pPr>
                </w:p>
              </w:tc>
              <w:tc>
                <w:tcPr>
                  <w:tcW w:w="1000" w:type="pct"/>
                  <w:vAlign w:val="center"/>
                </w:tcPr>
                <w:p>
                  <w:pPr>
                    <w:pStyle w:val="47"/>
                    <w:spacing w:line="360" w:lineRule="exact"/>
                    <w:rPr>
                      <w:rFonts w:eastAsia="宋体"/>
                      <w:sz w:val="18"/>
                      <w:szCs w:val="18"/>
                    </w:rPr>
                  </w:pPr>
                  <w:r>
                    <w:rPr>
                      <w:rFonts w:eastAsia="宋体"/>
                      <w:sz w:val="18"/>
                      <w:szCs w:val="18"/>
                    </w:rPr>
                    <w:t>2020-03</w:t>
                  </w:r>
                </w:p>
              </w:tc>
              <w:tc>
                <w:tcPr>
                  <w:tcW w:w="1000" w:type="pct"/>
                  <w:vAlign w:val="center"/>
                </w:tcPr>
                <w:p>
                  <w:pPr>
                    <w:spacing w:line="360" w:lineRule="exact"/>
                    <w:jc w:val="center"/>
                    <w:rPr>
                      <w:sz w:val="18"/>
                      <w:szCs w:val="18"/>
                    </w:rPr>
                  </w:pPr>
                  <w:r>
                    <w:rPr>
                      <w:sz w:val="18"/>
                      <w:szCs w:val="18"/>
                    </w:rPr>
                    <w:t>18</w:t>
                  </w:r>
                </w:p>
              </w:tc>
              <w:tc>
                <w:tcPr>
                  <w:tcW w:w="1000" w:type="pct"/>
                  <w:vAlign w:val="center"/>
                </w:tcPr>
                <w:p>
                  <w:pPr>
                    <w:spacing w:line="360" w:lineRule="exact"/>
                    <w:jc w:val="center"/>
                    <w:rPr>
                      <w:sz w:val="18"/>
                      <w:szCs w:val="18"/>
                    </w:rPr>
                  </w:pPr>
                  <w:r>
                    <w:rPr>
                      <w:sz w:val="18"/>
                      <w:szCs w:val="18"/>
                    </w:rPr>
                    <w:t>0.1</w:t>
                  </w:r>
                </w:p>
              </w:tc>
              <w:tc>
                <w:tcPr>
                  <w:tcW w:w="1000" w:type="pct"/>
                  <w:vAlign w:val="center"/>
                </w:tcPr>
                <w:p>
                  <w:pPr>
                    <w:spacing w:line="360" w:lineRule="exact"/>
                    <w:jc w:val="center"/>
                    <w:rPr>
                      <w:sz w:val="18"/>
                      <w:szCs w:val="18"/>
                    </w:rPr>
                  </w:pPr>
                  <w:r>
                    <w:rPr>
                      <w:sz w:val="18"/>
                      <w:szCs w:val="18"/>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47"/>
                    <w:spacing w:line="360" w:lineRule="exact"/>
                    <w:rPr>
                      <w:rFonts w:eastAsia="宋体"/>
                      <w:sz w:val="18"/>
                      <w:szCs w:val="18"/>
                    </w:rPr>
                  </w:pPr>
                </w:p>
              </w:tc>
              <w:tc>
                <w:tcPr>
                  <w:tcW w:w="1000" w:type="pct"/>
                  <w:vAlign w:val="center"/>
                </w:tcPr>
                <w:p>
                  <w:pPr>
                    <w:pStyle w:val="47"/>
                    <w:spacing w:line="360" w:lineRule="exact"/>
                    <w:rPr>
                      <w:rFonts w:eastAsia="宋体"/>
                      <w:sz w:val="18"/>
                      <w:szCs w:val="18"/>
                    </w:rPr>
                  </w:pPr>
                  <w:r>
                    <w:rPr>
                      <w:rFonts w:eastAsia="宋体"/>
                      <w:sz w:val="18"/>
                      <w:szCs w:val="18"/>
                    </w:rPr>
                    <w:t>2020-04</w:t>
                  </w:r>
                </w:p>
              </w:tc>
              <w:tc>
                <w:tcPr>
                  <w:tcW w:w="1000" w:type="pct"/>
                  <w:vAlign w:val="center"/>
                </w:tcPr>
                <w:p>
                  <w:pPr>
                    <w:spacing w:line="360" w:lineRule="exact"/>
                    <w:jc w:val="center"/>
                    <w:rPr>
                      <w:sz w:val="18"/>
                      <w:szCs w:val="18"/>
                    </w:rPr>
                  </w:pPr>
                  <w:r>
                    <w:rPr>
                      <w:sz w:val="18"/>
                      <w:szCs w:val="18"/>
                    </w:rPr>
                    <w:t>18</w:t>
                  </w:r>
                </w:p>
              </w:tc>
              <w:tc>
                <w:tcPr>
                  <w:tcW w:w="1000" w:type="pct"/>
                  <w:vAlign w:val="center"/>
                </w:tcPr>
                <w:p>
                  <w:pPr>
                    <w:spacing w:line="360" w:lineRule="exact"/>
                    <w:jc w:val="center"/>
                    <w:rPr>
                      <w:sz w:val="18"/>
                      <w:szCs w:val="18"/>
                    </w:rPr>
                  </w:pPr>
                  <w:r>
                    <w:rPr>
                      <w:sz w:val="18"/>
                      <w:szCs w:val="18"/>
                    </w:rPr>
                    <w:t>0.06</w:t>
                  </w:r>
                </w:p>
              </w:tc>
              <w:tc>
                <w:tcPr>
                  <w:tcW w:w="1000" w:type="pct"/>
                  <w:vAlign w:val="center"/>
                </w:tcPr>
                <w:p>
                  <w:pPr>
                    <w:spacing w:line="360" w:lineRule="exact"/>
                    <w:jc w:val="center"/>
                    <w:rPr>
                      <w:sz w:val="18"/>
                      <w:szCs w:val="18"/>
                    </w:rPr>
                  </w:pPr>
                  <w:r>
                    <w:rPr>
                      <w:sz w:val="18"/>
                      <w:szCs w:val="18"/>
                    </w:rPr>
                    <w:t>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47"/>
                    <w:spacing w:line="360" w:lineRule="exact"/>
                    <w:rPr>
                      <w:rFonts w:eastAsia="宋体"/>
                      <w:sz w:val="18"/>
                      <w:szCs w:val="18"/>
                    </w:rPr>
                  </w:pPr>
                </w:p>
              </w:tc>
              <w:tc>
                <w:tcPr>
                  <w:tcW w:w="1000" w:type="pct"/>
                  <w:vAlign w:val="center"/>
                </w:tcPr>
                <w:p>
                  <w:pPr>
                    <w:pStyle w:val="47"/>
                    <w:spacing w:line="360" w:lineRule="exact"/>
                    <w:rPr>
                      <w:rFonts w:eastAsia="宋体"/>
                      <w:sz w:val="18"/>
                      <w:szCs w:val="18"/>
                    </w:rPr>
                  </w:pPr>
                  <w:r>
                    <w:rPr>
                      <w:rFonts w:eastAsia="宋体"/>
                      <w:sz w:val="18"/>
                      <w:szCs w:val="18"/>
                    </w:rPr>
                    <w:t>2020-5</w:t>
                  </w:r>
                </w:p>
              </w:tc>
              <w:tc>
                <w:tcPr>
                  <w:tcW w:w="1000" w:type="pct"/>
                  <w:vAlign w:val="center"/>
                </w:tcPr>
                <w:p>
                  <w:pPr>
                    <w:spacing w:line="360" w:lineRule="exact"/>
                    <w:jc w:val="center"/>
                    <w:rPr>
                      <w:sz w:val="18"/>
                      <w:szCs w:val="18"/>
                    </w:rPr>
                  </w:pPr>
                  <w:r>
                    <w:rPr>
                      <w:sz w:val="18"/>
                      <w:szCs w:val="18"/>
                    </w:rPr>
                    <w:t>19</w:t>
                  </w:r>
                </w:p>
              </w:tc>
              <w:tc>
                <w:tcPr>
                  <w:tcW w:w="1000" w:type="pct"/>
                  <w:vAlign w:val="center"/>
                </w:tcPr>
                <w:p>
                  <w:pPr>
                    <w:spacing w:line="360" w:lineRule="exact"/>
                    <w:jc w:val="center"/>
                    <w:rPr>
                      <w:sz w:val="18"/>
                      <w:szCs w:val="18"/>
                    </w:rPr>
                  </w:pPr>
                  <w:r>
                    <w:rPr>
                      <w:sz w:val="18"/>
                      <w:szCs w:val="18"/>
                    </w:rPr>
                    <w:t>0.12</w:t>
                  </w:r>
                </w:p>
              </w:tc>
              <w:tc>
                <w:tcPr>
                  <w:tcW w:w="1000" w:type="pct"/>
                  <w:vAlign w:val="center"/>
                </w:tcPr>
                <w:p>
                  <w:pPr>
                    <w:spacing w:line="360" w:lineRule="exact"/>
                    <w:jc w:val="center"/>
                    <w:rPr>
                      <w:sz w:val="18"/>
                      <w:szCs w:val="18"/>
                    </w:rPr>
                  </w:pPr>
                  <w:r>
                    <w:rPr>
                      <w:sz w:val="18"/>
                      <w:szCs w:val="18"/>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Merge w:val="continue"/>
                  <w:vAlign w:val="center"/>
                </w:tcPr>
                <w:p>
                  <w:pPr>
                    <w:pStyle w:val="47"/>
                    <w:spacing w:line="360" w:lineRule="exact"/>
                    <w:rPr>
                      <w:rFonts w:eastAsia="宋体"/>
                      <w:sz w:val="18"/>
                      <w:szCs w:val="18"/>
                    </w:rPr>
                  </w:pPr>
                </w:p>
              </w:tc>
              <w:tc>
                <w:tcPr>
                  <w:tcW w:w="1000" w:type="pct"/>
                  <w:vAlign w:val="center"/>
                </w:tcPr>
                <w:p>
                  <w:pPr>
                    <w:pStyle w:val="47"/>
                    <w:spacing w:line="360" w:lineRule="exact"/>
                    <w:rPr>
                      <w:rFonts w:eastAsia="宋体"/>
                      <w:sz w:val="18"/>
                      <w:szCs w:val="18"/>
                    </w:rPr>
                  </w:pPr>
                  <w:r>
                    <w:rPr>
                      <w:rFonts w:eastAsia="宋体"/>
                      <w:sz w:val="18"/>
                      <w:szCs w:val="18"/>
                    </w:rPr>
                    <w:t>均值</w:t>
                  </w:r>
                </w:p>
              </w:tc>
              <w:tc>
                <w:tcPr>
                  <w:tcW w:w="1000" w:type="pct"/>
                  <w:vAlign w:val="center"/>
                </w:tcPr>
                <w:p>
                  <w:pPr>
                    <w:pStyle w:val="47"/>
                    <w:spacing w:line="360" w:lineRule="exact"/>
                    <w:rPr>
                      <w:rFonts w:eastAsia="宋体"/>
                      <w:sz w:val="18"/>
                      <w:szCs w:val="18"/>
                    </w:rPr>
                  </w:pPr>
                  <w:r>
                    <w:rPr>
                      <w:rFonts w:eastAsia="宋体"/>
                      <w:sz w:val="18"/>
                      <w:szCs w:val="18"/>
                    </w:rPr>
                    <w:t>19</w:t>
                  </w:r>
                </w:p>
              </w:tc>
              <w:tc>
                <w:tcPr>
                  <w:tcW w:w="1000" w:type="pct"/>
                  <w:vAlign w:val="center"/>
                </w:tcPr>
                <w:p>
                  <w:pPr>
                    <w:pStyle w:val="47"/>
                    <w:spacing w:line="360" w:lineRule="exact"/>
                    <w:rPr>
                      <w:rFonts w:eastAsia="宋体"/>
                      <w:sz w:val="18"/>
                      <w:szCs w:val="18"/>
                    </w:rPr>
                  </w:pPr>
                  <w:r>
                    <w:rPr>
                      <w:rFonts w:eastAsia="宋体"/>
                      <w:sz w:val="18"/>
                      <w:szCs w:val="18"/>
                    </w:rPr>
                    <w:t>0.166</w:t>
                  </w:r>
                </w:p>
              </w:tc>
              <w:tc>
                <w:tcPr>
                  <w:tcW w:w="1000" w:type="pct"/>
                  <w:vAlign w:val="center"/>
                </w:tcPr>
                <w:p>
                  <w:pPr>
                    <w:pStyle w:val="47"/>
                    <w:spacing w:line="360" w:lineRule="exact"/>
                    <w:rPr>
                      <w:rFonts w:eastAsia="宋体"/>
                      <w:sz w:val="18"/>
                      <w:szCs w:val="18"/>
                    </w:rPr>
                  </w:pPr>
                  <w:r>
                    <w:rPr>
                      <w:rFonts w:eastAsia="宋体"/>
                      <w:sz w:val="18"/>
                      <w:szCs w:val="18"/>
                    </w:rPr>
                    <w:t>0.0894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pStyle w:val="47"/>
                    <w:spacing w:line="360" w:lineRule="exact"/>
                    <w:rPr>
                      <w:rFonts w:eastAsia="宋体"/>
                      <w:sz w:val="18"/>
                      <w:szCs w:val="18"/>
                    </w:rPr>
                  </w:pPr>
                  <w:r>
                    <w:rPr>
                      <w:rFonts w:eastAsia="宋体"/>
                      <w:sz w:val="18"/>
                      <w:szCs w:val="18"/>
                    </w:rPr>
                    <w:t>规划水质标准</w:t>
                  </w:r>
                </w:p>
              </w:tc>
              <w:tc>
                <w:tcPr>
                  <w:tcW w:w="1000" w:type="pct"/>
                  <w:vAlign w:val="center"/>
                </w:tcPr>
                <w:p>
                  <w:pPr>
                    <w:pStyle w:val="47"/>
                    <w:spacing w:line="360" w:lineRule="exact"/>
                    <w:rPr>
                      <w:rFonts w:eastAsia="宋体"/>
                      <w:sz w:val="18"/>
                      <w:szCs w:val="18"/>
                    </w:rPr>
                  </w:pPr>
                  <w:r>
                    <w:rPr>
                      <w:rFonts w:eastAsia="宋体"/>
                      <w:sz w:val="18"/>
                      <w:szCs w:val="18"/>
                    </w:rPr>
                    <w:t>6~9</w:t>
                  </w:r>
                </w:p>
              </w:tc>
              <w:tc>
                <w:tcPr>
                  <w:tcW w:w="1000" w:type="pct"/>
                  <w:vAlign w:val="center"/>
                </w:tcPr>
                <w:p>
                  <w:pPr>
                    <w:pStyle w:val="47"/>
                    <w:spacing w:line="360" w:lineRule="exact"/>
                    <w:rPr>
                      <w:rFonts w:eastAsia="宋体"/>
                      <w:sz w:val="18"/>
                      <w:szCs w:val="18"/>
                    </w:rPr>
                  </w:pPr>
                  <w:r>
                    <w:rPr>
                      <w:rFonts w:eastAsia="宋体"/>
                      <w:sz w:val="18"/>
                      <w:szCs w:val="18"/>
                    </w:rPr>
                    <w:t>20</w:t>
                  </w:r>
                </w:p>
              </w:tc>
              <w:tc>
                <w:tcPr>
                  <w:tcW w:w="1000" w:type="pct"/>
                  <w:vAlign w:val="center"/>
                </w:tcPr>
                <w:p>
                  <w:pPr>
                    <w:pStyle w:val="47"/>
                    <w:spacing w:line="360" w:lineRule="exact"/>
                    <w:rPr>
                      <w:rFonts w:eastAsia="宋体"/>
                      <w:sz w:val="18"/>
                      <w:szCs w:val="18"/>
                    </w:rPr>
                  </w:pPr>
                  <w:r>
                    <w:rPr>
                      <w:rFonts w:eastAsia="宋体"/>
                      <w:sz w:val="18"/>
                      <w:szCs w:val="18"/>
                    </w:rPr>
                    <w:t>1.0</w:t>
                  </w:r>
                </w:p>
              </w:tc>
              <w:tc>
                <w:tcPr>
                  <w:tcW w:w="1000" w:type="pct"/>
                  <w:vAlign w:val="center"/>
                </w:tcPr>
                <w:p>
                  <w:pPr>
                    <w:pStyle w:val="47"/>
                    <w:spacing w:line="360" w:lineRule="exact"/>
                    <w:rPr>
                      <w:rFonts w:eastAsia="宋体"/>
                      <w:sz w:val="18"/>
                      <w:szCs w:val="18"/>
                    </w:rPr>
                  </w:pPr>
                  <w:r>
                    <w:rPr>
                      <w:rFonts w:eastAsia="宋体"/>
                      <w:sz w:val="18"/>
                      <w:szCs w:val="18"/>
                    </w:rPr>
                    <w:t>0.2</w:t>
                  </w:r>
                </w:p>
              </w:tc>
            </w:tr>
          </w:tbl>
          <w:p>
            <w:pPr>
              <w:pStyle w:val="5"/>
              <w:adjustRightInd w:val="0"/>
              <w:spacing w:before="0" w:after="0" w:line="360" w:lineRule="auto"/>
              <w:ind w:right="0" w:firstLine="488" w:firstLineChars="200"/>
              <w:rPr>
                <w:rFonts w:hAnsi="宋体"/>
                <w:spacing w:val="2"/>
                <w:sz w:val="24"/>
                <w:szCs w:val="24"/>
              </w:rPr>
            </w:pPr>
            <w:r>
              <w:rPr>
                <w:rFonts w:hAnsi="宋体"/>
                <w:spacing w:val="2"/>
                <w:sz w:val="24"/>
                <w:szCs w:val="24"/>
              </w:rPr>
              <w:t>由监测统计结果分析可知，2020年度1月-5月份颍河西华址坊断面COD范围为18~20mg/L，超标率0；氨氮范围为0.06~0.43mg/L，超标率0；总磷范围为0.07~0.168mg/L，超标率0。根据常规监测数据，颍河-西华址坊断面1月-5月份 COD、</w:t>
            </w:r>
            <w:r>
              <w:rPr>
                <w:spacing w:val="2"/>
                <w:sz w:val="24"/>
                <w:szCs w:val="24"/>
              </w:rPr>
              <w:t>氨氮及总磷平均值分别为</w:t>
            </w:r>
            <w:r>
              <w:rPr>
                <w:rFonts w:hAnsi="宋体"/>
                <w:spacing w:val="2"/>
                <w:sz w:val="24"/>
                <w:szCs w:val="24"/>
              </w:rPr>
              <w:t xml:space="preserve"> 19mg/L、0.166mg/L、0.0894mg/L，满足《地表水环境质量标准》（GB3838-2002）中的Ⅲ类标准要求。</w:t>
            </w:r>
          </w:p>
          <w:p>
            <w:pPr>
              <w:pStyle w:val="5"/>
              <w:adjustRightInd w:val="0"/>
              <w:spacing w:before="0" w:after="0" w:line="360" w:lineRule="auto"/>
              <w:ind w:right="0" w:firstLine="488" w:firstLineChars="200"/>
              <w:rPr>
                <w:rFonts w:hAnsi="宋体"/>
                <w:spacing w:val="2"/>
                <w:sz w:val="24"/>
                <w:szCs w:val="24"/>
              </w:rPr>
            </w:pPr>
            <w:r>
              <w:rPr>
                <w:rFonts w:hAnsi="宋体"/>
                <w:spacing w:val="2"/>
                <w:sz w:val="24"/>
                <w:szCs w:val="24"/>
              </w:rPr>
              <w:t>从以上分析可知，随着《漯河市污染防治攻坚站三年行动计划（2018-2020 年）》的逐年实施，2020年以来颍河水质无超标现象出现，区域地表水环境质量较好。</w:t>
            </w:r>
          </w:p>
          <w:p>
            <w:pPr>
              <w:pStyle w:val="5"/>
              <w:adjustRightInd w:val="0"/>
              <w:spacing w:before="120" w:beforeLines="50" w:after="0" w:line="360" w:lineRule="auto"/>
              <w:ind w:right="0"/>
              <w:rPr>
                <w:b/>
                <w:spacing w:val="2"/>
                <w:sz w:val="24"/>
                <w:szCs w:val="24"/>
              </w:rPr>
            </w:pPr>
            <w:r>
              <w:rPr>
                <w:b/>
                <w:spacing w:val="2"/>
                <w:sz w:val="24"/>
                <w:szCs w:val="24"/>
              </w:rPr>
              <w:t>3、地下水</w:t>
            </w:r>
          </w:p>
          <w:p>
            <w:pPr>
              <w:adjustRightInd w:val="0"/>
              <w:snapToGrid w:val="0"/>
              <w:spacing w:line="360" w:lineRule="auto"/>
              <w:ind w:firstLine="480" w:firstLineChars="200"/>
              <w:rPr>
                <w:rFonts w:hAnsi="宋体"/>
                <w:spacing w:val="2"/>
                <w:sz w:val="24"/>
              </w:rPr>
            </w:pPr>
            <w:r>
              <w:rPr>
                <w:rFonts w:hint="eastAsia" w:hAnsi="宋体"/>
                <w:bCs/>
                <w:sz w:val="24"/>
              </w:rPr>
              <w:t>本项目位于</w:t>
            </w:r>
            <w:r>
              <w:rPr>
                <w:rFonts w:hint="eastAsia"/>
                <w:color w:val="000000"/>
                <w:sz w:val="24"/>
              </w:rPr>
              <w:t>漯河市郾城区孟庙镇</w:t>
            </w:r>
            <w:r>
              <w:rPr>
                <w:rFonts w:hint="eastAsia" w:hAnsi="宋体"/>
                <w:bCs/>
                <w:sz w:val="24"/>
              </w:rPr>
              <w:t>，地下水为</w:t>
            </w:r>
            <w:r>
              <w:rPr>
                <w:rFonts w:hint="eastAsia" w:hAnsi="宋体"/>
                <w:sz w:val="24"/>
              </w:rPr>
              <w:t>Ⅲ类，</w:t>
            </w:r>
            <w:r>
              <w:rPr>
                <w:rFonts w:hint="eastAsia" w:hAnsi="宋体"/>
                <w:bCs/>
                <w:sz w:val="24"/>
              </w:rPr>
              <w:t>项目5</w:t>
            </w:r>
            <w:r>
              <w:rPr>
                <w:rFonts w:hAnsi="宋体"/>
                <w:bCs/>
                <w:sz w:val="24"/>
              </w:rPr>
              <w:t>00m范围内不涉及地下水集中式饮用水源和热水</w:t>
            </w:r>
            <w:r>
              <w:rPr>
                <w:rFonts w:hint="eastAsia" w:hAnsi="宋体"/>
                <w:bCs/>
                <w:sz w:val="24"/>
              </w:rPr>
              <w:t>、</w:t>
            </w:r>
            <w:r>
              <w:rPr>
                <w:rFonts w:hAnsi="宋体"/>
                <w:bCs/>
                <w:sz w:val="24"/>
              </w:rPr>
              <w:t>矿泉水温泉等特殊地下水资源</w:t>
            </w:r>
            <w:r>
              <w:rPr>
                <w:rFonts w:hint="eastAsia" w:hAnsi="宋体"/>
                <w:bCs/>
                <w:sz w:val="24"/>
              </w:rPr>
              <w:t>，本次收集到距离本项目厂界400m的杜李村（厂区下游）的地下水监测数据，由</w:t>
            </w:r>
            <w:r>
              <w:rPr>
                <w:rFonts w:hint="eastAsia"/>
                <w:sz w:val="24"/>
              </w:rPr>
              <w:t>河南省正信检测技术有限公司于2019年5月26～28日连续监测3天</w:t>
            </w:r>
            <w:r>
              <w:rPr>
                <w:rFonts w:hint="eastAsia" w:hAnsi="宋体"/>
                <w:bCs/>
                <w:sz w:val="24"/>
              </w:rPr>
              <w:t>。</w:t>
            </w:r>
            <w:r>
              <w:rPr>
                <w:rFonts w:hAnsi="宋体"/>
                <w:spacing w:val="2"/>
                <w:sz w:val="24"/>
              </w:rPr>
              <w:t>地下水环境监测分析结果见表</w:t>
            </w:r>
            <w:r>
              <w:rPr>
                <w:rFonts w:hint="eastAsia" w:hAnsi="宋体"/>
                <w:spacing w:val="2"/>
                <w:sz w:val="24"/>
              </w:rPr>
              <w:t>3-3</w:t>
            </w:r>
            <w:r>
              <w:rPr>
                <w:rFonts w:hAnsi="宋体"/>
                <w:spacing w:val="2"/>
                <w:sz w:val="24"/>
              </w:rPr>
              <w:t>。</w:t>
            </w:r>
          </w:p>
          <w:p>
            <w:pPr>
              <w:spacing w:before="120" w:beforeLines="50" w:after="120" w:afterLines="50" w:line="240" w:lineRule="atLeast"/>
              <w:jc w:val="center"/>
            </w:pPr>
            <w:r>
              <w:rPr>
                <w:rFonts w:eastAsia="黑体"/>
                <w:color w:val="000000"/>
                <w:sz w:val="24"/>
              </w:rPr>
              <w:t>表</w:t>
            </w:r>
            <w:r>
              <w:rPr>
                <w:rFonts w:hint="eastAsia" w:eastAsia="黑体"/>
                <w:color w:val="000000"/>
                <w:sz w:val="24"/>
              </w:rPr>
              <w:t>3-3</w:t>
            </w:r>
            <w:r>
              <w:rPr>
                <w:rFonts w:eastAsia="黑体"/>
                <w:color w:val="000000"/>
                <w:sz w:val="24"/>
              </w:rPr>
              <w:t xml:space="preserve">   </w:t>
            </w:r>
            <w:r>
              <w:rPr>
                <w:rFonts w:eastAsia="黑体"/>
                <w:sz w:val="24"/>
              </w:rPr>
              <w:t>地下水环境质量</w:t>
            </w:r>
            <w:r>
              <w:rPr>
                <w:rFonts w:hint="eastAsia" w:eastAsia="黑体"/>
                <w:sz w:val="24"/>
              </w:rPr>
              <w:t>水质</w:t>
            </w:r>
            <w:r>
              <w:rPr>
                <w:rFonts w:eastAsia="黑体"/>
                <w:sz w:val="24"/>
              </w:rPr>
              <w:t>现状监测结果表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993"/>
              <w:gridCol w:w="1697"/>
              <w:gridCol w:w="2091"/>
              <w:gridCol w:w="1221"/>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1063"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ind w:firstLine="630" w:firstLineChars="300"/>
                    <w:jc w:val="center"/>
                    <w:rPr>
                      <w:szCs w:val="21"/>
                    </w:rPr>
                  </w:pPr>
                  <w:r>
                    <w:rPr>
                      <w:szCs w:val="21"/>
                      <w:lang w:bidi="ar"/>
                    </w:rPr>
                    <w:t>监测结果</w:t>
                  </w:r>
                </w:p>
                <w:p>
                  <w:pPr>
                    <w:adjustRightInd w:val="0"/>
                    <w:snapToGrid w:val="0"/>
                    <w:rPr>
                      <w:szCs w:val="21"/>
                    </w:rPr>
                  </w:pPr>
                  <w:r>
                    <w:rPr>
                      <w:szCs w:val="21"/>
                      <w:lang w:bidi="ar"/>
                    </w:rPr>
                    <w:t>监测项目</w:t>
                  </w:r>
                </w:p>
              </w:tc>
              <w:tc>
                <w:tcPr>
                  <w:tcW w:w="20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杜李</w:t>
                  </w:r>
                  <w:r>
                    <w:rPr>
                      <w:szCs w:val="21"/>
                    </w:rPr>
                    <w:t>村</w:t>
                  </w:r>
                </w:p>
              </w:tc>
              <w:tc>
                <w:tcPr>
                  <w:tcW w:w="5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标准</w:t>
                  </w:r>
                </w:p>
                <w:p>
                  <w:pPr>
                    <w:adjustRightInd w:val="0"/>
                    <w:snapToGrid w:val="0"/>
                    <w:jc w:val="center"/>
                    <w:rPr>
                      <w:b/>
                      <w:szCs w:val="21"/>
                    </w:rPr>
                  </w:pPr>
                  <w:r>
                    <w:rPr>
                      <w:szCs w:val="21"/>
                      <w:lang w:bidi="ar"/>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1063"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jc w:val="center"/>
                    <w:rPr>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监测范围</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均值标准指数</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超标率（%）</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井深（m）</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35</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水位（m）</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5</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szCs w:val="21"/>
                      <w:lang w:bidi="ar"/>
                    </w:rPr>
                    <w:t>pH(无量纲)</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lang w:bidi="ar"/>
                    </w:rPr>
                    <w:t>7.08</w:t>
                  </w:r>
                  <w:r>
                    <w:rPr>
                      <w:szCs w:val="21"/>
                      <w:lang w:bidi="ar"/>
                    </w:rPr>
                    <w:t>~7.</w:t>
                  </w:r>
                  <w:r>
                    <w:rPr>
                      <w:rFonts w:hint="eastAsia"/>
                      <w:szCs w:val="21"/>
                      <w:lang w:bidi="ar"/>
                    </w:rPr>
                    <w:t>11</w:t>
                  </w:r>
                </w:p>
              </w:tc>
              <w:tc>
                <w:tcPr>
                  <w:tcW w:w="8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szCs w:val="21"/>
                      <w:lang w:bidi="ar"/>
                    </w:rPr>
                    <w:t>/</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lang w:bidi="ar"/>
                    </w:rPr>
                  </w:pPr>
                  <w:r>
                    <w:rPr>
                      <w:szCs w:val="21"/>
                      <w:lang w:bidi="ar"/>
                    </w:rPr>
                    <w:t>6.5</w:t>
                  </w:r>
                  <w:r>
                    <w:rPr>
                      <w:kern w:val="0"/>
                      <w:szCs w:val="21"/>
                      <w:lang w:bidi="ar"/>
                    </w:rPr>
                    <w:t>～</w:t>
                  </w:r>
                  <w:r>
                    <w:rPr>
                      <w:szCs w:val="21"/>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氨氮</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0.05</w:t>
                  </w:r>
                  <w:r>
                    <w:rPr>
                      <w:szCs w:val="21"/>
                      <w:lang w:bidi="ar"/>
                    </w:rPr>
                    <w:t>~</w:t>
                  </w:r>
                  <w:r>
                    <w:rPr>
                      <w:rFonts w:hint="eastAsia"/>
                      <w:szCs w:val="21"/>
                      <w:lang w:bidi="ar"/>
                    </w:rPr>
                    <w:t>0.07</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1.92~2.13</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总硬度</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207</w:t>
                  </w:r>
                  <w:r>
                    <w:rPr>
                      <w:szCs w:val="21"/>
                      <w:lang w:bidi="ar"/>
                    </w:rPr>
                    <w:t>~</w:t>
                  </w:r>
                  <w:r>
                    <w:rPr>
                      <w:rFonts w:hint="eastAsia"/>
                      <w:szCs w:val="21"/>
                      <w:lang w:bidi="ar"/>
                    </w:rPr>
                    <w:t>221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0.215~0.222</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溶解性总固体</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403</w:t>
                  </w:r>
                  <w:r>
                    <w:rPr>
                      <w:szCs w:val="21"/>
                      <w:lang w:bidi="ar"/>
                    </w:rPr>
                    <w:t>~</w:t>
                  </w:r>
                  <w:r>
                    <w:rPr>
                      <w:rFonts w:hint="eastAsia"/>
                      <w:szCs w:val="21"/>
                      <w:lang w:bidi="ar"/>
                    </w:rPr>
                    <w:t>430</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0.104~0.11</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挥发酚</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rFonts w:hint="eastAsia"/>
                      <w:szCs w:val="21"/>
                    </w:rPr>
                    <w:t>＜0.005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rFonts w:hint="eastAsia"/>
                      <w:kern w:val="0"/>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硝酸盐</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0.104~0.11</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硫酸盐</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44.3</w:t>
                  </w:r>
                  <w:r>
                    <w:rPr>
                      <w:szCs w:val="21"/>
                      <w:lang w:bidi="ar"/>
                    </w:rPr>
                    <w:t>~</w:t>
                  </w:r>
                  <w:r>
                    <w:rPr>
                      <w:rFonts w:hint="eastAsia"/>
                      <w:szCs w:val="21"/>
                      <w:lang w:bidi="ar"/>
                    </w:rPr>
                    <w:t>46.9</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0.512~0.528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lang w:bidi="ar"/>
                    </w:rPr>
                    <w:t>氯化物</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21.5~23.2</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lang w:bidi="ar"/>
                    </w:rPr>
                    <w:t>亚</w:t>
                  </w:r>
                  <w:r>
                    <w:rPr>
                      <w:szCs w:val="21"/>
                      <w:lang w:bidi="ar"/>
                    </w:rPr>
                    <w:t>硝酸盐</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＜0.001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0.280~0.299</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硒</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1.92~2.13</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铅</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＜0.0025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0.215~0.222</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镉</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0.104~0.11</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汞</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szCs w:val="21"/>
                      <w:lang w:bidi="ar"/>
                    </w:rPr>
                    <w:t>0.104~0.11</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砷</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0.065~0.068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铜</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0.512~0.528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锌</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0.512~0.528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铁</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＜0.03</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0.280~0.299</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rFonts w:hint="eastAsia"/>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lang w:bidi="ar"/>
                    </w:rPr>
                  </w:pPr>
                  <w:r>
                    <w:rPr>
                      <w:rFonts w:hint="eastAsia"/>
                      <w:szCs w:val="21"/>
                    </w:rPr>
                    <w:t>锰</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lang w:bidi="ar"/>
                    </w:rPr>
                  </w:pPr>
                  <w:r>
                    <w:rPr>
                      <w:rFonts w:hint="eastAsia"/>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rFonts w:hint="eastAsia"/>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K</w:t>
                  </w:r>
                  <w:r>
                    <w:rPr>
                      <w:rFonts w:hint="eastAsia"/>
                      <w:szCs w:val="21"/>
                      <w:vertAlign w:val="superscript"/>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2.47</w:t>
                  </w:r>
                  <w:r>
                    <w:rPr>
                      <w:kern w:val="0"/>
                      <w:szCs w:val="21"/>
                      <w:lang w:bidi="ar"/>
                    </w:rPr>
                    <w:t>~</w:t>
                  </w:r>
                  <w:r>
                    <w:rPr>
                      <w:rFonts w:hint="eastAsia"/>
                      <w:kern w:val="0"/>
                      <w:szCs w:val="21"/>
                      <w:lang w:bidi="ar"/>
                    </w:rPr>
                    <w:t>2.64</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kern w:val="0"/>
                      <w:szCs w:val="21"/>
                      <w:lang w:bidi="ar"/>
                    </w:rPr>
                    <w:t>0.358~0.398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Na</w:t>
                  </w:r>
                  <w:r>
                    <w:rPr>
                      <w:rFonts w:hint="eastAsia"/>
                      <w:szCs w:val="21"/>
                      <w:vertAlign w:val="superscript"/>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kern w:val="0"/>
                      <w:szCs w:val="21"/>
                      <w:lang w:bidi="ar"/>
                    </w:rPr>
                    <w:t>106~</w:t>
                  </w:r>
                  <w:r>
                    <w:rPr>
                      <w:rFonts w:hint="eastAsia"/>
                      <w:kern w:val="0"/>
                      <w:szCs w:val="21"/>
                      <w:lang w:bidi="ar"/>
                    </w:rPr>
                    <w:t>120</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1.92~2.13</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Ca</w:t>
                  </w:r>
                  <w:r>
                    <w:rPr>
                      <w:rFonts w:hint="eastAsia"/>
                      <w:szCs w:val="21"/>
                      <w:vertAlign w:val="superscript"/>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39.7</w:t>
                  </w:r>
                  <w:r>
                    <w:rPr>
                      <w:kern w:val="0"/>
                      <w:szCs w:val="21"/>
                      <w:lang w:bidi="ar"/>
                    </w:rPr>
                    <w:t>~</w:t>
                  </w:r>
                  <w:r>
                    <w:rPr>
                      <w:rFonts w:hint="eastAsia"/>
                      <w:kern w:val="0"/>
                      <w:szCs w:val="21"/>
                      <w:lang w:bidi="ar"/>
                    </w:rPr>
                    <w:t>41.8</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0.215~0.222</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Mg</w:t>
                  </w:r>
                  <w:r>
                    <w:rPr>
                      <w:rFonts w:hint="eastAsia"/>
                      <w:szCs w:val="21"/>
                      <w:vertAlign w:val="superscript"/>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15.4</w:t>
                  </w:r>
                  <w:r>
                    <w:rPr>
                      <w:szCs w:val="21"/>
                      <w:lang w:bidi="ar"/>
                    </w:rPr>
                    <w:t>~</w:t>
                  </w:r>
                  <w:r>
                    <w:rPr>
                      <w:rFonts w:hint="eastAsia"/>
                      <w:szCs w:val="21"/>
                      <w:lang w:bidi="ar"/>
                    </w:rPr>
                    <w:t>16.3</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0.104~0.11</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CO</w:t>
                  </w:r>
                  <w:r>
                    <w:rPr>
                      <w:rFonts w:hint="eastAsia"/>
                      <w:szCs w:val="21"/>
                      <w:vertAlign w:val="subscript"/>
                    </w:rPr>
                    <w:t>3</w:t>
                  </w:r>
                  <w:r>
                    <w:rPr>
                      <w:rFonts w:hint="eastAsia"/>
                      <w:szCs w:val="21"/>
                      <w:vertAlign w:val="superscript"/>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lang w:bidi="ar"/>
                    </w:rPr>
                  </w:pPr>
                  <w:r>
                    <w:rPr>
                      <w:rFonts w:hint="eastAsia"/>
                      <w:kern w:val="0"/>
                      <w:szCs w:val="21"/>
                      <w:lang w:bidi="ar"/>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HCO</w:t>
                  </w:r>
                  <w:r>
                    <w:rPr>
                      <w:rFonts w:hint="eastAsia"/>
                      <w:szCs w:val="21"/>
                      <w:vertAlign w:val="subscript"/>
                    </w:rPr>
                    <w:t>3</w:t>
                  </w:r>
                  <w:r>
                    <w:rPr>
                      <w:rFonts w:hint="eastAsia"/>
                      <w:szCs w:val="21"/>
                      <w:vertAlign w:val="superscript"/>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402</w:t>
                  </w:r>
                  <w:r>
                    <w:rPr>
                      <w:szCs w:val="21"/>
                      <w:lang w:bidi="ar"/>
                    </w:rPr>
                    <w:t>~</w:t>
                  </w:r>
                  <w:r>
                    <w:rPr>
                      <w:rFonts w:hint="eastAsia"/>
                      <w:szCs w:val="21"/>
                      <w:lang w:bidi="ar"/>
                    </w:rPr>
                    <w:t>422</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0.065~0.068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Cl</w:t>
                  </w:r>
                  <w:r>
                    <w:rPr>
                      <w:rFonts w:hint="eastAsia"/>
                      <w:szCs w:val="21"/>
                      <w:vertAlign w:val="superscript"/>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20.2</w:t>
                  </w:r>
                  <w:r>
                    <w:rPr>
                      <w:szCs w:val="21"/>
                      <w:lang w:bidi="ar"/>
                    </w:rPr>
                    <w:t>~</w:t>
                  </w:r>
                  <w:r>
                    <w:rPr>
                      <w:rFonts w:hint="eastAsia"/>
                      <w:szCs w:val="21"/>
                      <w:lang w:bidi="ar"/>
                    </w:rPr>
                    <w:t>21.5</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0.512~0.528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SO</w:t>
                  </w:r>
                  <w:r>
                    <w:rPr>
                      <w:rFonts w:hint="eastAsia"/>
                      <w:szCs w:val="21"/>
                      <w:vertAlign w:val="subscript"/>
                    </w:rPr>
                    <w:t>4</w:t>
                  </w:r>
                  <w:r>
                    <w:rPr>
                      <w:rFonts w:hint="eastAsia"/>
                      <w:szCs w:val="21"/>
                      <w:vertAlign w:val="superscript"/>
                    </w:rPr>
                    <w:t>2-</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lang w:bidi="ar"/>
                    </w:rPr>
                    <w:t>39.5</w:t>
                  </w:r>
                  <w:r>
                    <w:rPr>
                      <w:kern w:val="0"/>
                      <w:szCs w:val="21"/>
                      <w:lang w:bidi="ar"/>
                    </w:rPr>
                    <w:t>~</w:t>
                  </w:r>
                  <w:r>
                    <w:rPr>
                      <w:rFonts w:hint="eastAsia"/>
                      <w:kern w:val="0"/>
                      <w:szCs w:val="21"/>
                      <w:lang w:bidi="ar"/>
                    </w:rPr>
                    <w:t>41.1</w:t>
                  </w:r>
                </w:p>
              </w:tc>
              <w:tc>
                <w:tcPr>
                  <w:tcW w:w="8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lang w:bidi="ar"/>
                    </w:rPr>
                    <w:t>0.512~0.528</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0</w:t>
                  </w:r>
                </w:p>
              </w:tc>
              <w:tc>
                <w:tcPr>
                  <w:tcW w:w="5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kern w:val="0"/>
                      <w:szCs w:val="21"/>
                    </w:rPr>
                  </w:pPr>
                  <w:r>
                    <w:rPr>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vAlign w:val="center"/>
                </w:tcPr>
                <w:p>
                  <w:pPr>
                    <w:widowControl/>
                    <w:adjustRightInd w:val="0"/>
                    <w:snapToGrid w:val="0"/>
                    <w:jc w:val="center"/>
                    <w:rPr>
                      <w:szCs w:val="21"/>
                    </w:rPr>
                  </w:pPr>
                  <w:r>
                    <w:rPr>
                      <w:rFonts w:hint="eastAsia"/>
                      <w:szCs w:val="21"/>
                    </w:rPr>
                    <w:t>阴离子表面活性剂</w:t>
                  </w:r>
                </w:p>
              </w:tc>
              <w:tc>
                <w:tcPr>
                  <w:tcW w:w="720" w:type="dxa"/>
                  <w:vAlign w:val="center"/>
                </w:tcPr>
                <w:p>
                  <w:pPr>
                    <w:widowControl/>
                    <w:adjustRightInd w:val="0"/>
                    <w:snapToGrid w:val="0"/>
                    <w:jc w:val="center"/>
                    <w:rPr>
                      <w:szCs w:val="21"/>
                    </w:rPr>
                  </w:pPr>
                  <w:r>
                    <w:rPr>
                      <w:rFonts w:hint="eastAsia"/>
                      <w:szCs w:val="21"/>
                    </w:rPr>
                    <w:t>＜0.05</w:t>
                  </w:r>
                </w:p>
              </w:tc>
              <w:tc>
                <w:tcPr>
                  <w:tcW w:w="804" w:type="dxa"/>
                  <w:vAlign w:val="center"/>
                </w:tcPr>
                <w:p>
                  <w:pPr>
                    <w:widowControl/>
                    <w:adjustRightInd w:val="0"/>
                    <w:snapToGrid w:val="0"/>
                    <w:jc w:val="center"/>
                    <w:rPr>
                      <w:kern w:val="0"/>
                      <w:szCs w:val="21"/>
                      <w:lang w:bidi="ar"/>
                    </w:rPr>
                  </w:pPr>
                  <w:r>
                    <w:rPr>
                      <w:kern w:val="0"/>
                      <w:szCs w:val="21"/>
                      <w:lang w:bidi="ar"/>
                    </w:rPr>
                    <w:t>0.358~0.398</w:t>
                  </w:r>
                </w:p>
              </w:tc>
              <w:tc>
                <w:tcPr>
                  <w:tcW w:w="571" w:type="dxa"/>
                  <w:vAlign w:val="center"/>
                </w:tcPr>
                <w:p>
                  <w:pPr>
                    <w:widowControl/>
                    <w:adjustRightInd w:val="0"/>
                    <w:snapToGrid w:val="0"/>
                    <w:jc w:val="center"/>
                    <w:rPr>
                      <w:szCs w:val="21"/>
                    </w:rPr>
                  </w:pPr>
                  <w:r>
                    <w:rPr>
                      <w:rFonts w:hint="eastAsia"/>
                      <w:szCs w:val="21"/>
                    </w:rPr>
                    <w:t>0</w:t>
                  </w:r>
                </w:p>
              </w:tc>
              <w:tc>
                <w:tcPr>
                  <w:tcW w:w="571" w:type="dxa"/>
                  <w:vAlign w:val="center"/>
                </w:tcPr>
                <w:p>
                  <w:pPr>
                    <w:widowControl/>
                    <w:adjustRightInd w:val="0"/>
                    <w:snapToGrid w:val="0"/>
                    <w:jc w:val="center"/>
                    <w:rPr>
                      <w:kern w:val="0"/>
                      <w:szCs w:val="21"/>
                    </w:rPr>
                  </w:pPr>
                  <w:r>
                    <w:rPr>
                      <w:rFonts w:hint="eastAsia"/>
                      <w:szCs w:val="21"/>
                    </w:rPr>
                    <w:t>0</w:t>
                  </w: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063" w:type="dxa"/>
                  <w:vAlign w:val="center"/>
                </w:tcPr>
                <w:p>
                  <w:pPr>
                    <w:widowControl/>
                    <w:adjustRightInd w:val="0"/>
                    <w:snapToGrid w:val="0"/>
                    <w:jc w:val="center"/>
                    <w:rPr>
                      <w:szCs w:val="21"/>
                    </w:rPr>
                  </w:pPr>
                  <w:r>
                    <w:rPr>
                      <w:rFonts w:hint="eastAsia" w:ascii="宋体" w:hAnsi="宋体"/>
                      <w:szCs w:val="21"/>
                    </w:rPr>
                    <w:t>总大肠菌群</w:t>
                  </w:r>
                </w:p>
              </w:tc>
              <w:tc>
                <w:tcPr>
                  <w:tcW w:w="720" w:type="dxa"/>
                  <w:vAlign w:val="center"/>
                </w:tcPr>
                <w:p>
                  <w:pPr>
                    <w:widowControl/>
                    <w:adjustRightInd w:val="0"/>
                    <w:snapToGrid w:val="0"/>
                    <w:jc w:val="center"/>
                    <w:rPr>
                      <w:szCs w:val="21"/>
                    </w:rPr>
                  </w:pPr>
                  <w:r>
                    <w:rPr>
                      <w:rFonts w:hint="eastAsia"/>
                      <w:szCs w:val="21"/>
                    </w:rPr>
                    <w:t>未检出</w:t>
                  </w:r>
                </w:p>
              </w:tc>
              <w:tc>
                <w:tcPr>
                  <w:tcW w:w="804" w:type="dxa"/>
                  <w:vAlign w:val="center"/>
                </w:tcPr>
                <w:p>
                  <w:pPr>
                    <w:widowControl/>
                    <w:adjustRightInd w:val="0"/>
                    <w:snapToGrid w:val="0"/>
                    <w:jc w:val="center"/>
                    <w:rPr>
                      <w:szCs w:val="21"/>
                    </w:rPr>
                  </w:pPr>
                  <w:r>
                    <w:rPr>
                      <w:szCs w:val="21"/>
                      <w:lang w:bidi="ar"/>
                    </w:rPr>
                    <w:t>0</w:t>
                  </w:r>
                </w:p>
              </w:tc>
              <w:tc>
                <w:tcPr>
                  <w:tcW w:w="571" w:type="dxa"/>
                  <w:vAlign w:val="center"/>
                </w:tcPr>
                <w:p>
                  <w:pPr>
                    <w:widowControl/>
                    <w:adjustRightInd w:val="0"/>
                    <w:snapToGrid w:val="0"/>
                    <w:jc w:val="center"/>
                    <w:rPr>
                      <w:szCs w:val="21"/>
                    </w:rPr>
                  </w:pPr>
                  <w:r>
                    <w:rPr>
                      <w:rFonts w:hint="eastAsia"/>
                      <w:szCs w:val="21"/>
                    </w:rPr>
                    <w:t>0</w:t>
                  </w:r>
                </w:p>
              </w:tc>
              <w:tc>
                <w:tcPr>
                  <w:tcW w:w="571" w:type="dxa"/>
                  <w:vAlign w:val="center"/>
                </w:tcPr>
                <w:p>
                  <w:pPr>
                    <w:widowControl/>
                    <w:adjustRightInd w:val="0"/>
                    <w:snapToGrid w:val="0"/>
                    <w:jc w:val="center"/>
                    <w:rPr>
                      <w:kern w:val="0"/>
                      <w:szCs w:val="21"/>
                    </w:rPr>
                  </w:pPr>
                  <w:r>
                    <w:rPr>
                      <w:szCs w:val="21"/>
                    </w:rPr>
                    <w:t>3.0</w:t>
                  </w:r>
                </w:p>
              </w:tc>
            </w:tr>
          </w:tbl>
          <w:p>
            <w:pPr>
              <w:pStyle w:val="5"/>
              <w:adjustRightInd w:val="0"/>
              <w:spacing w:before="0" w:after="0" w:line="360" w:lineRule="auto"/>
              <w:ind w:right="0" w:firstLine="488" w:firstLineChars="200"/>
              <w:rPr>
                <w:rFonts w:hAnsi="宋体"/>
                <w:spacing w:val="2"/>
                <w:sz w:val="24"/>
                <w:szCs w:val="24"/>
              </w:rPr>
            </w:pPr>
            <w:r>
              <w:rPr>
                <w:rFonts w:hAnsi="宋体"/>
                <w:spacing w:val="2"/>
                <w:sz w:val="24"/>
                <w:szCs w:val="24"/>
              </w:rPr>
              <w:t>由上表知，浅层和中深层地下水各项指标的年均浓度均可满足《地下水质量标准》（GB/T14848－2017）Ⅲ类标准要求，地下水质量较好。</w:t>
            </w:r>
          </w:p>
          <w:p>
            <w:pPr>
              <w:pStyle w:val="5"/>
              <w:adjustRightInd w:val="0"/>
              <w:spacing w:before="120" w:beforeLines="50" w:after="0" w:line="360" w:lineRule="auto"/>
              <w:ind w:right="0"/>
              <w:rPr>
                <w:b/>
                <w:spacing w:val="2"/>
                <w:sz w:val="24"/>
                <w:szCs w:val="24"/>
              </w:rPr>
            </w:pPr>
            <w:r>
              <w:rPr>
                <w:b/>
                <w:spacing w:val="2"/>
                <w:sz w:val="24"/>
                <w:szCs w:val="24"/>
              </w:rPr>
              <w:t>4、声环境</w:t>
            </w:r>
          </w:p>
          <w:p>
            <w:pPr>
              <w:pStyle w:val="5"/>
              <w:adjustRightInd w:val="0"/>
              <w:spacing w:before="0" w:after="0" w:line="360" w:lineRule="auto"/>
              <w:ind w:right="0" w:firstLine="488" w:firstLineChars="200"/>
              <w:rPr>
                <w:rFonts w:hAnsi="宋体"/>
                <w:spacing w:val="2"/>
                <w:sz w:val="24"/>
                <w:szCs w:val="24"/>
              </w:rPr>
            </w:pPr>
            <w:r>
              <w:rPr>
                <w:rFonts w:hAnsi="宋体"/>
                <w:spacing w:val="2"/>
                <w:sz w:val="24"/>
                <w:szCs w:val="24"/>
              </w:rPr>
              <w:t>根据噪声适用区划分，拟建项目所在区域为2类区，应执行《声环境质量标准》（GB3096-2008）2类标准。根据现场踏勘，拟建项目所在区域内无大型噪声污染源，区域声环境质量整体较好，能够满足《声环境质量标准》（GB3096-2008）2类标准要求。</w:t>
            </w:r>
          </w:p>
          <w:p>
            <w:pPr>
              <w:pStyle w:val="5"/>
              <w:adjustRightInd w:val="0"/>
              <w:spacing w:before="120" w:beforeLines="50" w:after="0" w:line="360" w:lineRule="auto"/>
              <w:ind w:right="0"/>
              <w:rPr>
                <w:b/>
                <w:spacing w:val="2"/>
                <w:sz w:val="24"/>
                <w:szCs w:val="24"/>
              </w:rPr>
            </w:pPr>
            <w:r>
              <w:rPr>
                <w:b/>
                <w:spacing w:val="2"/>
                <w:sz w:val="24"/>
                <w:szCs w:val="24"/>
              </w:rPr>
              <w:t>5、生态环境质量现状</w:t>
            </w:r>
          </w:p>
          <w:p>
            <w:pPr>
              <w:pStyle w:val="5"/>
              <w:adjustRightInd w:val="0"/>
              <w:spacing w:before="0" w:after="0" w:line="360" w:lineRule="auto"/>
              <w:ind w:right="0" w:firstLine="488" w:firstLineChars="200"/>
              <w:rPr>
                <w:rFonts w:hAnsi="宋体"/>
                <w:spacing w:val="2"/>
                <w:sz w:val="21"/>
                <w:szCs w:val="21"/>
              </w:rPr>
            </w:pPr>
            <w:r>
              <w:rPr>
                <w:rFonts w:hAnsi="宋体"/>
                <w:spacing w:val="2"/>
                <w:sz w:val="24"/>
                <w:szCs w:val="24"/>
              </w:rPr>
              <w:t>本项目拟选厂址所在地区的生态系统已经演化为以人工生态系统为主，生态系统结构和功能比较单一。天然植被已经被人工植被取代，生态敏感性低。根据现场调查，项目所在区域以人工生态系统为主。项目区周边500m范围内并无珍稀动植物聚居地或繁殖点，项目区周边生态环境良好。</w:t>
            </w:r>
          </w:p>
          <w:p>
            <w:pPr>
              <w:pStyle w:val="5"/>
              <w:adjustRightInd w:val="0"/>
              <w:spacing w:before="0" w:after="0" w:line="360" w:lineRule="auto"/>
              <w:ind w:right="0"/>
              <w:rPr>
                <w:rFonts w:hAnsi="宋体"/>
                <w:spacing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353"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保护</w:t>
            </w:r>
          </w:p>
          <w:p>
            <w:pPr>
              <w:adjustRightInd w:val="0"/>
              <w:snapToGrid w:val="0"/>
              <w:jc w:val="center"/>
              <w:rPr>
                <w:rFonts w:ascii="宋体" w:hAnsi="宋体" w:cs="宋体"/>
                <w:kern w:val="0"/>
                <w:szCs w:val="21"/>
              </w:rPr>
            </w:pPr>
            <w:r>
              <w:rPr>
                <w:rFonts w:hint="eastAsia" w:ascii="宋体" w:hAnsi="宋体" w:cs="宋体"/>
                <w:kern w:val="0"/>
                <w:szCs w:val="21"/>
              </w:rPr>
              <w:t>目标</w:t>
            </w:r>
          </w:p>
        </w:tc>
        <w:tc>
          <w:tcPr>
            <w:tcW w:w="4646" w:type="pct"/>
            <w:vAlign w:val="center"/>
          </w:tcPr>
          <w:p>
            <w:pPr>
              <w:pStyle w:val="11"/>
              <w:spacing w:after="0" w:line="360" w:lineRule="auto"/>
              <w:ind w:left="0" w:leftChars="0" w:firstLine="454"/>
              <w:outlineLvl w:val="1"/>
              <w:rPr>
                <w:sz w:val="24"/>
              </w:rPr>
            </w:pPr>
            <w:r>
              <w:rPr>
                <w:rFonts w:hint="eastAsia" w:hAnsi="宋体"/>
                <w:sz w:val="24"/>
              </w:rPr>
              <w:t>本项目位于河南省漯河市郾城区纬十路中段漯河市中联再生资源有限公司院内，北侧距杜李村400m，项目</w:t>
            </w:r>
            <w:r>
              <w:rPr>
                <w:rFonts w:hAnsi="宋体"/>
                <w:sz w:val="24"/>
              </w:rPr>
              <w:t>主要环境保护目标如下表：</w:t>
            </w:r>
          </w:p>
          <w:p>
            <w:pPr>
              <w:spacing w:line="360" w:lineRule="auto"/>
              <w:jc w:val="center"/>
              <w:rPr>
                <w:b/>
                <w:sz w:val="24"/>
              </w:rPr>
            </w:pPr>
            <w:r>
              <w:rPr>
                <w:rFonts w:hint="eastAsia" w:ascii="黑体" w:hAnsi="黑体" w:eastAsia="黑体" w:cs="黑体"/>
                <w:bCs/>
                <w:sz w:val="24"/>
              </w:rPr>
              <w:t>表3-4  主要环境保护目标</w:t>
            </w:r>
          </w:p>
          <w:tbl>
            <w:tblPr>
              <w:tblStyle w:val="19"/>
              <w:tblpPr w:leftFromText="180" w:rightFromText="180" w:vertAnchor="text" w:horzAnchor="page" w:tblpXSpec="center" w:tblpY="39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244"/>
              <w:gridCol w:w="1164"/>
              <w:gridCol w:w="806"/>
              <w:gridCol w:w="813"/>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b/>
                      <w:sz w:val="18"/>
                      <w:szCs w:val="18"/>
                    </w:rPr>
                  </w:pPr>
                  <w:r>
                    <w:rPr>
                      <w:rFonts w:hAnsi="宋体"/>
                      <w:b/>
                      <w:sz w:val="18"/>
                      <w:szCs w:val="18"/>
                    </w:rPr>
                    <w:t>序号</w:t>
                  </w:r>
                </w:p>
              </w:tc>
              <w:tc>
                <w:tcPr>
                  <w:tcW w:w="1244" w:type="dxa"/>
                  <w:tcBorders>
                    <w:top w:val="single" w:color="auto" w:sz="4" w:space="0"/>
                    <w:left w:val="single" w:color="auto" w:sz="4" w:space="0"/>
                    <w:bottom w:val="single" w:color="auto" w:sz="4" w:space="0"/>
                    <w:right w:val="single" w:color="auto" w:sz="4" w:space="0"/>
                  </w:tcBorders>
                  <w:vAlign w:val="center"/>
                </w:tcPr>
                <w:p>
                  <w:pPr>
                    <w:jc w:val="center"/>
                    <w:rPr>
                      <w:b/>
                      <w:sz w:val="18"/>
                      <w:szCs w:val="18"/>
                    </w:rPr>
                  </w:pPr>
                  <w:r>
                    <w:rPr>
                      <w:rFonts w:hAnsi="宋体"/>
                      <w:b/>
                      <w:sz w:val="18"/>
                      <w:szCs w:val="18"/>
                    </w:rPr>
                    <w:t>环境因素</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b/>
                      <w:sz w:val="18"/>
                      <w:szCs w:val="18"/>
                    </w:rPr>
                  </w:pPr>
                  <w:r>
                    <w:rPr>
                      <w:rFonts w:hAnsi="宋体"/>
                      <w:b/>
                      <w:sz w:val="18"/>
                      <w:szCs w:val="18"/>
                    </w:rPr>
                    <w:t>保护目标</w:t>
                  </w: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b/>
                      <w:sz w:val="18"/>
                      <w:szCs w:val="18"/>
                    </w:rPr>
                  </w:pPr>
                  <w:r>
                    <w:rPr>
                      <w:rFonts w:hAnsi="宋体"/>
                      <w:b/>
                      <w:sz w:val="18"/>
                      <w:szCs w:val="18"/>
                    </w:rPr>
                    <w:t>方位</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b/>
                      <w:sz w:val="18"/>
                      <w:szCs w:val="18"/>
                    </w:rPr>
                  </w:pPr>
                  <w:r>
                    <w:rPr>
                      <w:rFonts w:hAnsi="宋体"/>
                      <w:b/>
                      <w:sz w:val="18"/>
                      <w:szCs w:val="18"/>
                    </w:rPr>
                    <w:t>距离</w:t>
                  </w:r>
                </w:p>
              </w:tc>
              <w:tc>
                <w:tcPr>
                  <w:tcW w:w="3314" w:type="dxa"/>
                  <w:tcBorders>
                    <w:top w:val="single" w:color="auto" w:sz="4" w:space="0"/>
                    <w:left w:val="single" w:color="auto" w:sz="4" w:space="0"/>
                    <w:bottom w:val="single" w:color="auto" w:sz="4" w:space="0"/>
                    <w:right w:val="single" w:color="auto" w:sz="4" w:space="0"/>
                  </w:tcBorders>
                  <w:vAlign w:val="center"/>
                </w:tcPr>
                <w:p>
                  <w:pPr>
                    <w:jc w:val="center"/>
                    <w:rPr>
                      <w:b/>
                      <w:sz w:val="18"/>
                      <w:szCs w:val="18"/>
                    </w:rPr>
                  </w:pPr>
                  <w:r>
                    <w:rPr>
                      <w:rFonts w:hAnsi="宋体"/>
                      <w:b/>
                      <w:sz w:val="18"/>
                      <w:szCs w:val="18"/>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76" w:type="dxa"/>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1</w:t>
                  </w:r>
                </w:p>
              </w:tc>
              <w:tc>
                <w:tcPr>
                  <w:tcW w:w="1244" w:type="dxa"/>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hAnsi="宋体"/>
                      <w:sz w:val="18"/>
                      <w:szCs w:val="18"/>
                    </w:rPr>
                    <w:t>大气环境</w:t>
                  </w:r>
                </w:p>
              </w:tc>
              <w:tc>
                <w:tcPr>
                  <w:tcW w:w="1164" w:type="dxa"/>
                  <w:tcBorders>
                    <w:top w:val="single" w:color="auto" w:sz="4" w:space="0"/>
                    <w:left w:val="single" w:color="auto" w:sz="4" w:space="0"/>
                    <w:right w:val="single" w:color="auto" w:sz="4" w:space="0"/>
                  </w:tcBorders>
                  <w:vAlign w:val="center"/>
                </w:tcPr>
                <w:p>
                  <w:pPr>
                    <w:jc w:val="center"/>
                    <w:rPr>
                      <w:sz w:val="18"/>
                      <w:szCs w:val="18"/>
                    </w:rPr>
                  </w:pPr>
                  <w:r>
                    <w:rPr>
                      <w:rFonts w:hint="eastAsia" w:hAnsi="宋体"/>
                      <w:sz w:val="18"/>
                      <w:szCs w:val="18"/>
                    </w:rPr>
                    <w:t>杜李村</w:t>
                  </w: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N</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400</w:t>
                  </w:r>
                  <w:r>
                    <w:rPr>
                      <w:sz w:val="18"/>
                      <w:szCs w:val="18"/>
                    </w:rPr>
                    <w:t>m</w:t>
                  </w:r>
                </w:p>
              </w:tc>
              <w:tc>
                <w:tcPr>
                  <w:tcW w:w="3314" w:type="dxa"/>
                  <w:vMerge w:val="restart"/>
                  <w:tcBorders>
                    <w:top w:val="single" w:color="auto" w:sz="4" w:space="0"/>
                    <w:left w:val="single" w:color="auto" w:sz="4" w:space="0"/>
                    <w:right w:val="single" w:color="auto" w:sz="4" w:space="0"/>
                  </w:tcBorders>
                  <w:vAlign w:val="center"/>
                </w:tcPr>
                <w:p>
                  <w:pPr>
                    <w:jc w:val="center"/>
                    <w:rPr>
                      <w:sz w:val="18"/>
                      <w:szCs w:val="18"/>
                    </w:rPr>
                  </w:pPr>
                  <w:r>
                    <w:rPr>
                      <w:rFonts w:hAnsi="宋体"/>
                      <w:sz w:val="18"/>
                      <w:szCs w:val="18"/>
                    </w:rPr>
                    <w:t>《环境空气质量标准》（</w:t>
                  </w:r>
                  <w:r>
                    <w:rPr>
                      <w:sz w:val="18"/>
                      <w:szCs w:val="18"/>
                    </w:rPr>
                    <w:t>GB3095-2012</w:t>
                  </w:r>
                  <w:r>
                    <w:rPr>
                      <w:rFonts w:hAnsi="宋体"/>
                      <w:sz w:val="18"/>
                      <w:szCs w:val="18"/>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jc w:val="center"/>
              </w:trPr>
              <w:tc>
                <w:tcPr>
                  <w:tcW w:w="676" w:type="dxa"/>
                  <w:vMerge w:val="continue"/>
                  <w:tcBorders>
                    <w:left w:val="single" w:color="auto" w:sz="4" w:space="0"/>
                    <w:right w:val="single" w:color="auto" w:sz="4" w:space="0"/>
                  </w:tcBorders>
                  <w:vAlign w:val="center"/>
                </w:tcPr>
                <w:p>
                  <w:pPr>
                    <w:jc w:val="center"/>
                    <w:rPr>
                      <w:sz w:val="18"/>
                      <w:szCs w:val="18"/>
                    </w:rPr>
                  </w:pPr>
                </w:p>
              </w:tc>
              <w:tc>
                <w:tcPr>
                  <w:tcW w:w="1244" w:type="dxa"/>
                  <w:vMerge w:val="continue"/>
                  <w:tcBorders>
                    <w:left w:val="single" w:color="auto" w:sz="4" w:space="0"/>
                    <w:right w:val="single" w:color="auto" w:sz="4" w:space="0"/>
                  </w:tcBorders>
                  <w:vAlign w:val="center"/>
                </w:tcPr>
                <w:p>
                  <w:pPr>
                    <w:jc w:val="center"/>
                    <w:rPr>
                      <w:rFonts w:hAnsi="宋体"/>
                      <w:sz w:val="18"/>
                      <w:szCs w:val="18"/>
                    </w:rPr>
                  </w:pPr>
                </w:p>
              </w:tc>
              <w:tc>
                <w:tcPr>
                  <w:tcW w:w="1164" w:type="dxa"/>
                  <w:tcBorders>
                    <w:top w:val="single" w:color="auto" w:sz="4" w:space="0"/>
                    <w:left w:val="single" w:color="auto" w:sz="4" w:space="0"/>
                    <w:right w:val="single" w:color="auto" w:sz="4" w:space="0"/>
                  </w:tcBorders>
                  <w:vAlign w:val="center"/>
                </w:tcPr>
                <w:p>
                  <w:pPr>
                    <w:jc w:val="center"/>
                    <w:rPr>
                      <w:rFonts w:hAnsi="宋体"/>
                      <w:sz w:val="18"/>
                      <w:szCs w:val="18"/>
                    </w:rPr>
                  </w:pPr>
                  <w:r>
                    <w:rPr>
                      <w:rFonts w:hint="eastAsia" w:hAnsi="宋体"/>
                      <w:sz w:val="18"/>
                      <w:szCs w:val="18"/>
                    </w:rPr>
                    <w:t>漯河市第三职业中等专业学校</w:t>
                  </w: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SW</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450</w:t>
                  </w:r>
                  <w:r>
                    <w:rPr>
                      <w:sz w:val="18"/>
                      <w:szCs w:val="18"/>
                    </w:rPr>
                    <w:t>m</w:t>
                  </w:r>
                </w:p>
              </w:tc>
              <w:tc>
                <w:tcPr>
                  <w:tcW w:w="3314" w:type="dxa"/>
                  <w:vMerge w:val="continue"/>
                  <w:tcBorders>
                    <w:left w:val="single" w:color="auto" w:sz="4" w:space="0"/>
                    <w:right w:val="single" w:color="auto" w:sz="4" w:space="0"/>
                  </w:tcBorders>
                  <w:vAlign w:val="center"/>
                </w:tcPr>
                <w:p>
                  <w:pPr>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6" w:type="dxa"/>
                  <w:tcBorders>
                    <w:left w:val="single" w:color="auto" w:sz="4" w:space="0"/>
                    <w:right w:val="single" w:color="auto" w:sz="4" w:space="0"/>
                  </w:tcBorders>
                  <w:vAlign w:val="center"/>
                </w:tcPr>
                <w:p>
                  <w:pPr>
                    <w:jc w:val="center"/>
                    <w:rPr>
                      <w:sz w:val="18"/>
                      <w:szCs w:val="18"/>
                    </w:rPr>
                  </w:pPr>
                  <w:r>
                    <w:rPr>
                      <w:sz w:val="18"/>
                      <w:szCs w:val="18"/>
                    </w:rPr>
                    <w:t>2</w:t>
                  </w:r>
                </w:p>
              </w:tc>
              <w:tc>
                <w:tcPr>
                  <w:tcW w:w="1244" w:type="dxa"/>
                  <w:tcBorders>
                    <w:left w:val="single" w:color="auto" w:sz="4" w:space="0"/>
                    <w:right w:val="single" w:color="auto" w:sz="4" w:space="0"/>
                  </w:tcBorders>
                  <w:vAlign w:val="center"/>
                </w:tcPr>
                <w:p>
                  <w:pPr>
                    <w:jc w:val="center"/>
                    <w:rPr>
                      <w:sz w:val="18"/>
                      <w:szCs w:val="18"/>
                    </w:rPr>
                  </w:pPr>
                  <w:r>
                    <w:rPr>
                      <w:rFonts w:hint="eastAsia" w:hAnsi="宋体"/>
                      <w:sz w:val="18"/>
                      <w:szCs w:val="18"/>
                    </w:rPr>
                    <w:t>声环境</w:t>
                  </w:r>
                </w:p>
              </w:tc>
              <w:tc>
                <w:tcPr>
                  <w:tcW w:w="2783" w:type="dxa"/>
                  <w:gridSpan w:val="3"/>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hAnsi="宋体"/>
                      <w:sz w:val="18"/>
                      <w:szCs w:val="18"/>
                    </w:rPr>
                    <w:t>周围声环境</w:t>
                  </w:r>
                </w:p>
              </w:tc>
              <w:tc>
                <w:tcPr>
                  <w:tcW w:w="3314" w:type="dxa"/>
                  <w:tcBorders>
                    <w:left w:val="single" w:color="auto" w:sz="4" w:space="0"/>
                    <w:right w:val="single" w:color="auto" w:sz="4" w:space="0"/>
                  </w:tcBorders>
                  <w:vAlign w:val="center"/>
                </w:tcPr>
                <w:p>
                  <w:pPr>
                    <w:jc w:val="center"/>
                    <w:rPr>
                      <w:sz w:val="18"/>
                      <w:szCs w:val="18"/>
                    </w:rPr>
                  </w:pPr>
                  <w:r>
                    <w:rPr>
                      <w:rFonts w:hAnsi="宋体"/>
                      <w:sz w:val="18"/>
                      <w:szCs w:val="18"/>
                    </w:rPr>
                    <w:t>《声环境质量标准》（</w:t>
                  </w:r>
                  <w:r>
                    <w:rPr>
                      <w:sz w:val="18"/>
                      <w:szCs w:val="18"/>
                    </w:rPr>
                    <w:t>GB3096-2008</w:t>
                  </w:r>
                  <w:r>
                    <w:rPr>
                      <w:rFonts w:hAnsi="宋体"/>
                      <w:sz w:val="18"/>
                      <w:szCs w:val="18"/>
                    </w:rPr>
                    <w:t>）</w:t>
                  </w:r>
                  <w:r>
                    <w:rPr>
                      <w:rFonts w:hint="eastAsia"/>
                      <w:sz w:val="18"/>
                      <w:szCs w:val="18"/>
                    </w:rPr>
                    <w:t>2类</w:t>
                  </w:r>
                  <w:r>
                    <w:rPr>
                      <w:rFonts w:hAnsi="宋体"/>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12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Ansi="宋体"/>
                      <w:sz w:val="18"/>
                      <w:szCs w:val="18"/>
                    </w:rPr>
                    <w:t>地表水环境</w:t>
                  </w:r>
                </w:p>
              </w:tc>
              <w:tc>
                <w:tcPr>
                  <w:tcW w:w="116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Ansi="宋体"/>
                      <w:sz w:val="18"/>
                      <w:szCs w:val="18"/>
                    </w:rPr>
                    <w:t>颍河</w:t>
                  </w: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N</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3500</w:t>
                  </w:r>
                  <w:r>
                    <w:rPr>
                      <w:sz w:val="18"/>
                      <w:szCs w:val="18"/>
                    </w:rPr>
                    <w:t>m</w:t>
                  </w:r>
                </w:p>
              </w:tc>
              <w:tc>
                <w:tcPr>
                  <w:tcW w:w="331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Ansi="宋体"/>
                      <w:sz w:val="18"/>
                      <w:szCs w:val="18"/>
                    </w:rPr>
                    <w:t>《地表水环境质量标准》（</w:t>
                  </w:r>
                  <w:r>
                    <w:rPr>
                      <w:sz w:val="18"/>
                      <w:szCs w:val="18"/>
                    </w:rPr>
                    <w:t>GB3838-2002</w:t>
                  </w:r>
                  <w:r>
                    <w:rPr>
                      <w:rFonts w:hAnsi="宋体"/>
                      <w:sz w:val="18"/>
                      <w:szCs w:val="18"/>
                    </w:rPr>
                    <w:t>）Ⅲ类水水质标准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12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Ansi="宋体"/>
                      <w:sz w:val="18"/>
                      <w:szCs w:val="18"/>
                    </w:rPr>
                    <w:t>地下水环境</w:t>
                  </w:r>
                </w:p>
              </w:tc>
              <w:tc>
                <w:tcPr>
                  <w:tcW w:w="2783" w:type="dxa"/>
                  <w:gridSpan w:val="3"/>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Ansi="宋体"/>
                      <w:sz w:val="18"/>
                      <w:szCs w:val="18"/>
                    </w:rPr>
                    <w:t>区域浅层地下水</w:t>
                  </w:r>
                </w:p>
              </w:tc>
              <w:tc>
                <w:tcPr>
                  <w:tcW w:w="331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Ansi="宋体"/>
                      <w:sz w:val="18"/>
                      <w:szCs w:val="18"/>
                    </w:rPr>
                    <w:t>《地下水质量标准》（</w:t>
                  </w:r>
                  <w:r>
                    <w:rPr>
                      <w:sz w:val="18"/>
                      <w:szCs w:val="18"/>
                    </w:rPr>
                    <w:t>GB/T14848-2017</w:t>
                  </w:r>
                  <w:r>
                    <w:rPr>
                      <w:rFonts w:hAnsi="宋体"/>
                      <w:sz w:val="18"/>
                      <w:szCs w:val="18"/>
                    </w:rPr>
                    <w:t>）Ⅲ类标准</w:t>
                  </w:r>
                </w:p>
              </w:tc>
            </w:tr>
          </w:tbl>
          <w:p>
            <w:pPr>
              <w:adjustRightInd w:val="0"/>
              <w:snapToGrid w:val="0"/>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353" w:type="pct"/>
            <w:tcMar>
              <w:left w:w="28" w:type="dxa"/>
              <w:right w:w="28" w:type="dxa"/>
            </w:tcMar>
            <w:vAlign w:val="center"/>
          </w:tcPr>
          <w:p>
            <w:pPr>
              <w:adjustRightInd w:val="0"/>
              <w:snapToGrid w:val="0"/>
              <w:jc w:val="center"/>
              <w:rPr>
                <w:rFonts w:ascii="宋体" w:hAnsi="宋体" w:cs="宋体"/>
                <w:kern w:val="0"/>
                <w:szCs w:val="21"/>
              </w:rPr>
            </w:pPr>
            <w:r>
              <w:rPr>
                <w:rFonts w:hint="eastAsia" w:ascii="宋体" w:hAnsi="宋体" w:cs="宋体"/>
                <w:kern w:val="0"/>
                <w:szCs w:val="21"/>
              </w:rPr>
              <w:t>污染</w:t>
            </w:r>
          </w:p>
          <w:p>
            <w:pPr>
              <w:adjustRightInd w:val="0"/>
              <w:snapToGrid w:val="0"/>
              <w:jc w:val="center"/>
              <w:rPr>
                <w:rFonts w:ascii="宋体" w:hAnsi="宋体" w:cs="宋体"/>
                <w:kern w:val="0"/>
                <w:szCs w:val="21"/>
              </w:rPr>
            </w:pPr>
            <w:r>
              <w:rPr>
                <w:rFonts w:hint="eastAsia" w:ascii="宋体" w:hAnsi="宋体" w:cs="宋体"/>
                <w:kern w:val="0"/>
                <w:szCs w:val="21"/>
              </w:rPr>
              <w:t>物排</w:t>
            </w:r>
          </w:p>
          <w:p>
            <w:pPr>
              <w:adjustRightInd w:val="0"/>
              <w:snapToGrid w:val="0"/>
              <w:jc w:val="center"/>
              <w:rPr>
                <w:rFonts w:ascii="宋体" w:hAnsi="宋体" w:cs="宋体"/>
                <w:kern w:val="0"/>
                <w:szCs w:val="21"/>
              </w:rPr>
            </w:pPr>
            <w:r>
              <w:rPr>
                <w:rFonts w:hint="eastAsia" w:ascii="宋体" w:hAnsi="宋体" w:cs="宋体"/>
                <w:kern w:val="0"/>
                <w:szCs w:val="21"/>
              </w:rPr>
              <w:t>放控</w:t>
            </w:r>
          </w:p>
          <w:p>
            <w:pPr>
              <w:adjustRightInd w:val="0"/>
              <w:snapToGrid w:val="0"/>
              <w:jc w:val="center"/>
              <w:rPr>
                <w:rFonts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4646" w:type="pct"/>
            <w:vAlign w:val="center"/>
          </w:tcPr>
          <w:p>
            <w:pPr>
              <w:pStyle w:val="11"/>
              <w:spacing w:after="0" w:line="360" w:lineRule="auto"/>
              <w:ind w:left="0" w:leftChars="0" w:firstLine="454"/>
              <w:outlineLvl w:val="1"/>
              <w:rPr>
                <w:b/>
                <w:bCs/>
                <w:sz w:val="24"/>
                <w:u w:val="single"/>
              </w:rPr>
            </w:pPr>
            <w:r>
              <w:rPr>
                <w:rFonts w:hint="eastAsia"/>
                <w:b/>
                <w:bCs/>
                <w:sz w:val="24"/>
                <w:u w:val="single"/>
              </w:rPr>
              <w:t>（1）废气：颗粒物有组织排放执行《大气污染物综合排放标准》（GB 16297-1996）表2排放限值（120mg/m³）；厂界无组织颗粒物浓度执行《大气污染物综合排放标准》（GB 16297-1996）表2边界限值（1.0mg/m³）</w:t>
            </w:r>
          </w:p>
          <w:p>
            <w:pPr>
              <w:pStyle w:val="11"/>
              <w:spacing w:after="0" w:line="360" w:lineRule="auto"/>
              <w:ind w:left="0" w:leftChars="0" w:firstLine="454"/>
              <w:outlineLvl w:val="1"/>
              <w:rPr>
                <w:b/>
                <w:bCs/>
                <w:sz w:val="24"/>
                <w:u w:val="single"/>
              </w:rPr>
            </w:pPr>
            <w:r>
              <w:rPr>
                <w:rFonts w:hint="eastAsia"/>
                <w:b/>
                <w:bCs/>
                <w:sz w:val="24"/>
                <w:u w:val="single"/>
              </w:rPr>
              <w:t>（2）废水：废水执行《污水综合排放标准》（GB8978-1996）表4二级标准（pH：6-9；COD：150mg/L；氨氮：25 mg/L；SS：150 mg/L）。</w:t>
            </w:r>
          </w:p>
          <w:p>
            <w:pPr>
              <w:pStyle w:val="11"/>
              <w:spacing w:after="0" w:line="360" w:lineRule="auto"/>
              <w:ind w:left="0" w:leftChars="0" w:firstLine="454"/>
              <w:outlineLvl w:val="1"/>
              <w:rPr>
                <w:b/>
                <w:bCs/>
                <w:sz w:val="24"/>
                <w:u w:val="single"/>
              </w:rPr>
            </w:pPr>
            <w:r>
              <w:rPr>
                <w:rFonts w:hint="eastAsia"/>
                <w:b/>
                <w:bCs/>
                <w:sz w:val="24"/>
                <w:u w:val="single"/>
              </w:rPr>
              <w:t>（3）噪声：四周厂界噪声执行《工业企业厂界环境噪声排放标准》（GB12348-2008）2类标准：昼间60dB(A)； 夜间50 dB(A)。</w:t>
            </w:r>
          </w:p>
          <w:p>
            <w:pPr>
              <w:pStyle w:val="11"/>
              <w:spacing w:after="0" w:line="360" w:lineRule="auto"/>
              <w:ind w:left="0" w:leftChars="0" w:firstLine="454"/>
              <w:outlineLvl w:val="1"/>
              <w:rPr>
                <w:b/>
                <w:bCs/>
                <w:szCs w:val="21"/>
              </w:rPr>
            </w:pPr>
            <w:r>
              <w:rPr>
                <w:rFonts w:hint="eastAsia"/>
                <w:b/>
                <w:bCs/>
                <w:sz w:val="24"/>
                <w:u w:val="single"/>
              </w:rPr>
              <w:t>（4）固废：固废执行《一般工业固体废物贮存和填埋污染控制标准》（GB18599-2020）及其修改单。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10" w:hRule="atLeast"/>
          <w:jc w:val="center"/>
        </w:trPr>
        <w:tc>
          <w:tcPr>
            <w:tcW w:w="353"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总量</w:t>
            </w:r>
          </w:p>
          <w:p>
            <w:pPr>
              <w:adjustRightInd w:val="0"/>
              <w:snapToGrid w:val="0"/>
              <w:jc w:val="center"/>
              <w:rPr>
                <w:rFonts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4646" w:type="pct"/>
          </w:tcPr>
          <w:p>
            <w:pPr>
              <w:spacing w:line="360" w:lineRule="auto"/>
              <w:ind w:firstLine="482" w:firstLineChars="200"/>
              <w:rPr>
                <w:b/>
                <w:bCs/>
                <w:sz w:val="24"/>
                <w:u w:val="single"/>
              </w:rPr>
            </w:pPr>
            <w:r>
              <w:rPr>
                <w:rFonts w:hint="eastAsia"/>
                <w:b/>
                <w:bCs/>
                <w:sz w:val="24"/>
                <w:u w:val="single"/>
              </w:rPr>
              <w:t>废水：本项目营运期废水主要为职工办公生活废水，职工办公生活废水经厂区化粪池处理后通过污水管网排入淞江产业集聚区污水处理厂。本项目废水经污水处理厂处理后废水最终排入颍河，根据漯河市生态环境局总量科对漯河市“十三五”水质目标的要求，本项目废水总量控制指标按照漯河市2020年颍河水质目标（COD≤20mg/L，NH3-N≤1.0mg/L）进行核定，项目职工办公生活废水排放量为</w:t>
            </w:r>
            <w:r>
              <w:rPr>
                <w:rFonts w:hint="eastAsia"/>
                <w:b/>
                <w:bCs/>
                <w:sz w:val="24"/>
                <w:u w:val="single"/>
                <w:lang w:val="en-US" w:eastAsia="zh-CN"/>
              </w:rPr>
              <w:t>288</w:t>
            </w:r>
            <w:r>
              <w:rPr>
                <w:rFonts w:hint="eastAsia"/>
                <w:b/>
                <w:bCs/>
                <w:sz w:val="24"/>
                <w:u w:val="single"/>
              </w:rPr>
              <w:t>m</w:t>
            </w:r>
            <w:r>
              <w:rPr>
                <w:rFonts w:hint="eastAsia"/>
                <w:b/>
                <w:bCs/>
                <w:sz w:val="24"/>
                <w:u w:val="single"/>
                <w:vertAlign w:val="superscript"/>
              </w:rPr>
              <w:t>3</w:t>
            </w:r>
            <w:r>
              <w:rPr>
                <w:rFonts w:hint="eastAsia"/>
                <w:b/>
                <w:bCs/>
                <w:sz w:val="24"/>
                <w:u w:val="single"/>
              </w:rPr>
              <w:t>/a，则本项目废水总量控制指标为：COD</w:t>
            </w:r>
            <w:r>
              <w:rPr>
                <w:rFonts w:hint="eastAsia"/>
                <w:b/>
                <w:bCs/>
                <w:sz w:val="24"/>
                <w:u w:val="single"/>
                <w:lang w:val="en-US" w:eastAsia="zh-CN"/>
              </w:rPr>
              <w:t>0.0058</w:t>
            </w:r>
            <w:r>
              <w:rPr>
                <w:rFonts w:hint="eastAsia"/>
                <w:b/>
                <w:bCs/>
                <w:sz w:val="24"/>
                <w:u w:val="single"/>
              </w:rPr>
              <w:t>t/a，NH3-N</w:t>
            </w:r>
            <w:r>
              <w:rPr>
                <w:rFonts w:hint="eastAsia"/>
                <w:b/>
                <w:bCs/>
                <w:sz w:val="24"/>
                <w:u w:val="single"/>
                <w:lang w:val="en-US" w:eastAsia="zh-CN"/>
              </w:rPr>
              <w:t>0.0003</w:t>
            </w:r>
            <w:r>
              <w:rPr>
                <w:rFonts w:hint="eastAsia"/>
                <w:b/>
                <w:bCs/>
                <w:sz w:val="24"/>
                <w:u w:val="single"/>
              </w:rPr>
              <w:t>t/a。</w:t>
            </w:r>
          </w:p>
          <w:p>
            <w:pPr>
              <w:spacing w:line="520" w:lineRule="exact"/>
              <w:ind w:firstLine="482" w:firstLineChars="200"/>
              <w:rPr>
                <w:b/>
                <w:bCs/>
                <w:sz w:val="24"/>
                <w:u w:val="single"/>
              </w:rPr>
            </w:pPr>
          </w:p>
          <w:p>
            <w:pPr>
              <w:spacing w:line="312" w:lineRule="auto"/>
              <w:ind w:firstLine="420" w:firstLineChars="200"/>
              <w:rPr>
                <w:szCs w:val="21"/>
              </w:rPr>
            </w:pPr>
          </w:p>
          <w:p>
            <w:pPr>
              <w:spacing w:line="312" w:lineRule="auto"/>
              <w:ind w:firstLine="420" w:firstLineChars="200"/>
              <w:rPr>
                <w:szCs w:val="21"/>
              </w:rPr>
            </w:pPr>
          </w:p>
          <w:p>
            <w:pPr>
              <w:spacing w:line="312" w:lineRule="auto"/>
              <w:ind w:firstLine="420" w:firstLineChars="200"/>
              <w:rPr>
                <w:szCs w:val="21"/>
              </w:rPr>
            </w:pPr>
          </w:p>
          <w:p>
            <w:pPr>
              <w:spacing w:line="312" w:lineRule="auto"/>
              <w:ind w:firstLine="420" w:firstLineChars="200"/>
              <w:rPr>
                <w:szCs w:val="21"/>
              </w:rPr>
            </w:pPr>
          </w:p>
          <w:p>
            <w:pPr>
              <w:spacing w:line="312" w:lineRule="auto"/>
              <w:ind w:firstLine="420" w:firstLineChars="200"/>
              <w:rPr>
                <w:szCs w:val="21"/>
              </w:rPr>
            </w:pPr>
          </w:p>
          <w:p>
            <w:pPr>
              <w:spacing w:line="312" w:lineRule="auto"/>
              <w:ind w:firstLine="420" w:firstLineChars="200"/>
              <w:rPr>
                <w:szCs w:val="21"/>
              </w:rPr>
            </w:pPr>
          </w:p>
          <w:p>
            <w:pPr>
              <w:spacing w:line="312" w:lineRule="auto"/>
              <w:ind w:firstLine="420" w:firstLineChars="200"/>
              <w:rPr>
                <w:szCs w:val="21"/>
              </w:rPr>
            </w:pPr>
          </w:p>
          <w:p>
            <w:pPr>
              <w:spacing w:line="312" w:lineRule="auto"/>
              <w:ind w:firstLine="420" w:firstLineChars="200"/>
              <w:rPr>
                <w:szCs w:val="21"/>
              </w:rPr>
            </w:pPr>
          </w:p>
        </w:tc>
      </w:tr>
    </w:tbl>
    <w:p>
      <w:pPr>
        <w:pStyle w:val="16"/>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746" w:type="dxa"/>
            <w:tcMar>
              <w:left w:w="28" w:type="dxa"/>
              <w:right w:w="28" w:type="dxa"/>
            </w:tcMar>
            <w:vAlign w:val="center"/>
          </w:tcPr>
          <w:p>
            <w:pPr>
              <w:pStyle w:val="16"/>
              <w:adjustRightInd w:val="0"/>
              <w:snapToGrid w:val="0"/>
              <w:spacing w:before="0" w:beforeAutospacing="0" w:after="0" w:afterAutospacing="0"/>
              <w:jc w:val="center"/>
              <w:rPr>
                <w:rFonts w:cs="宋体"/>
                <w:kern w:val="2"/>
                <w:sz w:val="21"/>
                <w:szCs w:val="21"/>
              </w:rPr>
            </w:pPr>
            <w:r>
              <w:rPr>
                <w:rFonts w:hint="eastAsia" w:cs="宋体"/>
                <w:kern w:val="2"/>
                <w:sz w:val="21"/>
                <w:szCs w:val="21"/>
              </w:rPr>
              <w:t>施工</w:t>
            </w:r>
          </w:p>
          <w:p>
            <w:pPr>
              <w:pStyle w:val="16"/>
              <w:adjustRightInd w:val="0"/>
              <w:snapToGrid w:val="0"/>
              <w:spacing w:before="0" w:beforeAutospacing="0" w:after="0" w:afterAutospacing="0"/>
              <w:jc w:val="center"/>
              <w:rPr>
                <w:rFonts w:cs="宋体"/>
                <w:kern w:val="2"/>
                <w:sz w:val="21"/>
                <w:szCs w:val="21"/>
              </w:rPr>
            </w:pPr>
            <w:r>
              <w:rPr>
                <w:rFonts w:hint="eastAsia" w:cs="宋体"/>
                <w:kern w:val="2"/>
                <w:sz w:val="21"/>
                <w:szCs w:val="21"/>
              </w:rPr>
              <w:t>期环</w:t>
            </w:r>
          </w:p>
          <w:p>
            <w:pPr>
              <w:pStyle w:val="16"/>
              <w:adjustRightInd w:val="0"/>
              <w:snapToGrid w:val="0"/>
              <w:spacing w:before="0" w:beforeAutospacing="0" w:after="0" w:afterAutospacing="0"/>
              <w:jc w:val="center"/>
              <w:rPr>
                <w:rFonts w:cs="宋体"/>
                <w:kern w:val="2"/>
                <w:sz w:val="21"/>
                <w:szCs w:val="21"/>
              </w:rPr>
            </w:pPr>
            <w:r>
              <w:rPr>
                <w:rFonts w:hint="eastAsia" w:cs="宋体"/>
                <w:kern w:val="2"/>
                <w:sz w:val="21"/>
                <w:szCs w:val="21"/>
              </w:rPr>
              <w:t>境保</w:t>
            </w:r>
          </w:p>
          <w:p>
            <w:pPr>
              <w:pStyle w:val="16"/>
              <w:adjustRightInd w:val="0"/>
              <w:snapToGrid w:val="0"/>
              <w:spacing w:before="0" w:beforeAutospacing="0" w:after="0" w:afterAutospacing="0"/>
              <w:jc w:val="center"/>
              <w:rPr>
                <w:rFonts w:cs="宋体"/>
                <w:kern w:val="2"/>
                <w:sz w:val="21"/>
                <w:szCs w:val="21"/>
              </w:rPr>
            </w:pPr>
            <w:r>
              <w:rPr>
                <w:rFonts w:hint="eastAsia" w:cs="宋体"/>
                <w:kern w:val="2"/>
                <w:sz w:val="21"/>
                <w:szCs w:val="21"/>
              </w:rPr>
              <w:t>护措</w:t>
            </w:r>
          </w:p>
          <w:p>
            <w:pPr>
              <w:pStyle w:val="16"/>
              <w:adjustRightInd w:val="0"/>
              <w:snapToGrid w:val="0"/>
              <w:spacing w:before="0" w:beforeAutospacing="0" w:after="0" w:afterAutospacing="0"/>
              <w:jc w:val="center"/>
              <w:rPr>
                <w:rFonts w:cs="宋体"/>
                <w:bCs/>
                <w:kern w:val="2"/>
                <w:sz w:val="21"/>
                <w:szCs w:val="21"/>
              </w:rPr>
            </w:pPr>
            <w:r>
              <w:rPr>
                <w:rFonts w:hint="eastAsia" w:cs="宋体"/>
                <w:kern w:val="2"/>
                <w:sz w:val="21"/>
                <w:szCs w:val="21"/>
              </w:rPr>
              <w:t>施</w:t>
            </w:r>
          </w:p>
        </w:tc>
        <w:tc>
          <w:tcPr>
            <w:tcW w:w="8162" w:type="dxa"/>
            <w:vAlign w:val="center"/>
          </w:tcPr>
          <w:p>
            <w:pPr>
              <w:spacing w:line="520" w:lineRule="exact"/>
              <w:ind w:firstLine="480" w:firstLineChars="200"/>
              <w:rPr>
                <w:sz w:val="24"/>
              </w:rPr>
            </w:pPr>
            <w:r>
              <w:rPr>
                <w:rFonts w:hint="eastAsia"/>
                <w:sz w:val="24"/>
              </w:rPr>
              <w:t>本项目利用已建成厂房进行生产</w:t>
            </w:r>
            <w:r>
              <w:rPr>
                <w:sz w:val="24"/>
              </w:rPr>
              <w:t>，故不再对施工期做分析。</w:t>
            </w:r>
          </w:p>
          <w:p>
            <w:pPr>
              <w:adjustRightInd w:val="0"/>
              <w:snapToGrid w:val="0"/>
              <w:rPr>
                <w:rFonts w:ascii="宋体" w:hAnsi="宋体" w:cs="宋体"/>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tcMar>
              <w:left w:w="28" w:type="dxa"/>
              <w:right w:w="28" w:type="dxa"/>
            </w:tcMar>
            <w:vAlign w:val="center"/>
          </w:tcPr>
          <w:p>
            <w:pPr>
              <w:adjustRightInd w:val="0"/>
              <w:snapToGrid w:val="0"/>
              <w:jc w:val="center"/>
              <w:rPr>
                <w:rFonts w:ascii="宋体" w:hAnsi="宋体" w:cs="宋体"/>
                <w:bCs/>
                <w:szCs w:val="21"/>
              </w:rPr>
            </w:pPr>
            <w:r>
              <w:rPr>
                <w:rFonts w:hint="eastAsia" w:ascii="宋体" w:hAnsi="宋体" w:cs="宋体"/>
                <w:bCs/>
                <w:szCs w:val="21"/>
              </w:rPr>
              <w:t>运营</w:t>
            </w:r>
          </w:p>
          <w:p>
            <w:pPr>
              <w:adjustRightInd w:val="0"/>
              <w:snapToGrid w:val="0"/>
              <w:jc w:val="center"/>
              <w:rPr>
                <w:rFonts w:ascii="宋体" w:hAnsi="宋体" w:cs="宋体"/>
                <w:bCs/>
                <w:szCs w:val="21"/>
              </w:rPr>
            </w:pPr>
            <w:r>
              <w:rPr>
                <w:rFonts w:hint="eastAsia" w:ascii="宋体" w:hAnsi="宋体" w:cs="宋体"/>
                <w:bCs/>
                <w:szCs w:val="21"/>
              </w:rPr>
              <w:t>期环</w:t>
            </w:r>
          </w:p>
          <w:p>
            <w:pPr>
              <w:adjustRightInd w:val="0"/>
              <w:snapToGrid w:val="0"/>
              <w:jc w:val="center"/>
              <w:rPr>
                <w:rFonts w:ascii="宋体" w:hAnsi="宋体" w:cs="宋体"/>
                <w:bCs/>
                <w:szCs w:val="21"/>
              </w:rPr>
            </w:pPr>
            <w:r>
              <w:rPr>
                <w:rFonts w:hint="eastAsia" w:ascii="宋体" w:hAnsi="宋体" w:cs="宋体"/>
                <w:bCs/>
                <w:szCs w:val="21"/>
              </w:rPr>
              <w:t>境影</w:t>
            </w:r>
          </w:p>
          <w:p>
            <w:pPr>
              <w:adjustRightInd w:val="0"/>
              <w:snapToGrid w:val="0"/>
              <w:jc w:val="center"/>
              <w:rPr>
                <w:rFonts w:ascii="宋体" w:hAnsi="宋体" w:cs="宋体"/>
                <w:bCs/>
                <w:szCs w:val="21"/>
              </w:rPr>
            </w:pPr>
            <w:r>
              <w:rPr>
                <w:rFonts w:hint="eastAsia" w:ascii="宋体" w:hAnsi="宋体" w:cs="宋体"/>
                <w:bCs/>
                <w:szCs w:val="21"/>
              </w:rPr>
              <w:t>响和</w:t>
            </w:r>
          </w:p>
          <w:p>
            <w:pPr>
              <w:adjustRightInd w:val="0"/>
              <w:snapToGrid w:val="0"/>
              <w:jc w:val="center"/>
              <w:rPr>
                <w:rFonts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szCs w:val="21"/>
              </w:rPr>
            </w:pPr>
            <w:r>
              <w:rPr>
                <w:rFonts w:hint="eastAsia" w:ascii="宋体" w:hAnsi="宋体" w:cs="宋体"/>
                <w:bCs/>
                <w:szCs w:val="21"/>
              </w:rPr>
              <w:t>措施</w:t>
            </w:r>
          </w:p>
        </w:tc>
        <w:tc>
          <w:tcPr>
            <w:tcW w:w="8162" w:type="dxa"/>
          </w:tcPr>
          <w:p>
            <w:pPr>
              <w:numPr>
                <w:ilvl w:val="0"/>
                <w:numId w:val="4"/>
              </w:numPr>
              <w:adjustRightInd w:val="0"/>
              <w:snapToGrid w:val="0"/>
              <w:spacing w:line="520" w:lineRule="exact"/>
              <w:ind w:hanging="357"/>
              <w:rPr>
                <w:rFonts w:ascii="宋体" w:hAnsi="宋体" w:cs="宋体"/>
                <w:b/>
                <w:bCs/>
                <w:spacing w:val="-10"/>
                <w:sz w:val="24"/>
              </w:rPr>
            </w:pPr>
            <w:r>
              <w:rPr>
                <w:rFonts w:hint="eastAsia" w:ascii="宋体" w:hAnsi="宋体" w:cs="宋体"/>
                <w:b/>
                <w:bCs/>
                <w:spacing w:val="-10"/>
                <w:sz w:val="24"/>
              </w:rPr>
              <w:t>废气</w:t>
            </w:r>
          </w:p>
          <w:p>
            <w:pPr>
              <w:adjustRightInd w:val="0"/>
              <w:snapToGrid w:val="0"/>
              <w:spacing w:line="360" w:lineRule="auto"/>
              <w:ind w:left="360"/>
              <w:rPr>
                <w:rFonts w:ascii="宋体" w:hAnsi="宋体" w:cs="宋体"/>
                <w:b/>
                <w:bCs/>
                <w:spacing w:val="-10"/>
                <w:sz w:val="24"/>
              </w:rPr>
            </w:pPr>
            <w:r>
              <w:rPr>
                <w:rFonts w:hint="eastAsia" w:ascii="宋体" w:hAnsi="宋体" w:cs="宋体"/>
                <w:b/>
                <w:bCs/>
                <w:spacing w:val="-10"/>
                <w:sz w:val="24"/>
              </w:rPr>
              <w:t>（1）废气源强</w:t>
            </w:r>
          </w:p>
          <w:p>
            <w:pPr>
              <w:spacing w:line="360" w:lineRule="auto"/>
              <w:ind w:firstLine="480" w:firstLineChars="200"/>
              <w:rPr>
                <w:sz w:val="24"/>
              </w:rPr>
            </w:pPr>
            <w:r>
              <w:rPr>
                <w:rFonts w:hint="eastAsia"/>
                <w:sz w:val="24"/>
              </w:rPr>
              <w:t>①项目在破碎</w:t>
            </w:r>
            <w:r>
              <w:rPr>
                <w:rFonts w:hint="eastAsia"/>
                <w:sz w:val="24"/>
                <w:lang w:val="en-US" w:eastAsia="zh-CN"/>
              </w:rPr>
              <w:t>磁选</w:t>
            </w:r>
            <w:r>
              <w:rPr>
                <w:rFonts w:hint="eastAsia"/>
                <w:sz w:val="24"/>
              </w:rPr>
              <w:t>过程中均会有粉尘产生，粉尘主要来自于废铁表面附着的灰尘、铁锈及夹杂少量废塑料等。</w:t>
            </w:r>
          </w:p>
          <w:p>
            <w:pPr>
              <w:spacing w:line="360" w:lineRule="auto"/>
              <w:ind w:firstLine="480" w:firstLineChars="200"/>
              <w:rPr>
                <w:sz w:val="24"/>
              </w:rPr>
            </w:pPr>
            <w:r>
              <w:rPr>
                <w:rFonts w:hint="eastAsia"/>
                <w:sz w:val="24"/>
              </w:rPr>
              <w:t>根据生态环境部发布《排放源统计调查产排污核算和系数手册》，废金属利用破碎筛选中物料破碎和筛选过程粉尘排放因子为360g/t（破碎—</w:t>
            </w:r>
            <w:r>
              <w:rPr>
                <w:rFonts w:hint="eastAsia"/>
                <w:sz w:val="24"/>
                <w:lang w:val="en-US" w:eastAsia="zh-CN"/>
              </w:rPr>
              <w:t>磁选</w:t>
            </w:r>
            <w:r>
              <w:rPr>
                <w:rFonts w:hint="eastAsia"/>
                <w:sz w:val="24"/>
              </w:rPr>
              <w:t>总量），项目原材料使用量为5000t/a，年工作2400h，则破碎</w:t>
            </w:r>
            <w:r>
              <w:rPr>
                <w:rFonts w:hint="eastAsia"/>
                <w:sz w:val="24"/>
                <w:lang w:val="en-US" w:eastAsia="zh-CN"/>
              </w:rPr>
              <w:t>磁选</w:t>
            </w:r>
            <w:r>
              <w:rPr>
                <w:rFonts w:hint="eastAsia"/>
                <w:sz w:val="24"/>
              </w:rPr>
              <w:t>颗粒物产生量为1.8t/a。</w:t>
            </w:r>
          </w:p>
          <w:p>
            <w:pPr>
              <w:spacing w:line="360" w:lineRule="auto"/>
              <w:ind w:firstLine="480" w:firstLineChars="200"/>
              <w:jc w:val="left"/>
              <w:rPr>
                <w:color w:val="000000"/>
                <w:sz w:val="24"/>
              </w:rPr>
            </w:pPr>
            <w:r>
              <w:rPr>
                <w:rFonts w:hint="eastAsia"/>
                <w:color w:val="000000"/>
                <w:sz w:val="24"/>
              </w:rPr>
              <w:t>本项目拟在破碎机及磁选机上方</w:t>
            </w:r>
            <w:r>
              <w:rPr>
                <w:rFonts w:hint="eastAsia" w:hAnsi="宋体"/>
                <w:bCs/>
                <w:sz w:val="24"/>
              </w:rPr>
              <w:t>设置集尘罩（集气效率90%）</w:t>
            </w:r>
            <w:r>
              <w:rPr>
                <w:rFonts w:hint="eastAsia"/>
                <w:color w:val="000000"/>
                <w:sz w:val="24"/>
              </w:rPr>
              <w:t>，对粉尘进行收集，2个集尘罩通过输送管通入同一套旋风+布袋除尘器处理后经15m高排气筒排放。拟选旋风+布袋除尘器风机</w:t>
            </w:r>
            <w:r>
              <w:rPr>
                <w:color w:val="000000"/>
                <w:sz w:val="24"/>
              </w:rPr>
              <w:t>风量为1</w:t>
            </w:r>
            <w:r>
              <w:rPr>
                <w:rFonts w:hint="eastAsia"/>
                <w:color w:val="000000"/>
                <w:sz w:val="24"/>
              </w:rPr>
              <w:t>0000</w:t>
            </w:r>
            <w:r>
              <w:rPr>
                <w:color w:val="000000"/>
                <w:sz w:val="24"/>
              </w:rPr>
              <w:t>m</w:t>
            </w:r>
            <w:r>
              <w:rPr>
                <w:color w:val="000000"/>
                <w:sz w:val="24"/>
                <w:vertAlign w:val="superscript"/>
              </w:rPr>
              <w:t>3</w:t>
            </w:r>
            <w:r>
              <w:rPr>
                <w:color w:val="000000"/>
                <w:sz w:val="24"/>
              </w:rPr>
              <w:t>/h，</w:t>
            </w:r>
            <w:r>
              <w:rPr>
                <w:rFonts w:hint="eastAsia"/>
                <w:color w:val="000000"/>
                <w:sz w:val="24"/>
              </w:rPr>
              <w:t>则产生浓度为75mg/m³,旋风+布袋除尘器对粉尘处理效率为99%，则经处理后颗粒物排放量为0.016t/a(0.007Kg/h),排放浓度为0.66mg/m³。排放浓度及排放速率均</w:t>
            </w:r>
            <w:r>
              <w:rPr>
                <w:color w:val="000000"/>
                <w:sz w:val="24"/>
              </w:rPr>
              <w:t>满足《</w:t>
            </w:r>
            <w:r>
              <w:rPr>
                <w:rFonts w:hint="eastAsia"/>
                <w:color w:val="000000"/>
                <w:sz w:val="24"/>
              </w:rPr>
              <w:t>大气污染物综合排放标准</w:t>
            </w:r>
            <w:r>
              <w:rPr>
                <w:color w:val="000000"/>
                <w:sz w:val="24"/>
              </w:rPr>
              <w:t>》（</w:t>
            </w:r>
            <w:r>
              <w:rPr>
                <w:rFonts w:hint="eastAsia"/>
                <w:color w:val="000000"/>
                <w:sz w:val="24"/>
              </w:rPr>
              <w:t>GB16297-1996</w:t>
            </w:r>
            <w:r>
              <w:rPr>
                <w:color w:val="000000"/>
                <w:sz w:val="24"/>
              </w:rPr>
              <w:t>）</w:t>
            </w:r>
            <w:r>
              <w:rPr>
                <w:rFonts w:hint="eastAsia"/>
                <w:color w:val="000000"/>
                <w:sz w:val="24"/>
              </w:rPr>
              <w:t>表2</w:t>
            </w:r>
            <w:r>
              <w:rPr>
                <w:color w:val="000000"/>
                <w:sz w:val="24"/>
              </w:rPr>
              <w:t>中</w:t>
            </w:r>
            <w:r>
              <w:rPr>
                <w:rFonts w:hint="eastAsia"/>
                <w:color w:val="000000"/>
                <w:sz w:val="24"/>
              </w:rPr>
              <w:t>二级标准</w:t>
            </w:r>
            <w:r>
              <w:rPr>
                <w:color w:val="000000"/>
                <w:sz w:val="24"/>
              </w:rPr>
              <w:t>的要求</w:t>
            </w:r>
            <w:r>
              <w:rPr>
                <w:rFonts w:hint="eastAsia"/>
                <w:color w:val="000000"/>
                <w:sz w:val="24"/>
              </w:rPr>
              <w:t>。</w:t>
            </w:r>
          </w:p>
          <w:p>
            <w:pPr>
              <w:spacing w:line="360" w:lineRule="auto"/>
              <w:ind w:firstLine="480" w:firstLineChars="200"/>
              <w:jc w:val="left"/>
              <w:rPr>
                <w:color w:val="000000"/>
                <w:sz w:val="24"/>
              </w:rPr>
            </w:pPr>
            <w:r>
              <w:rPr>
                <w:rFonts w:hint="eastAsia"/>
                <w:color w:val="000000"/>
                <w:sz w:val="24"/>
              </w:rPr>
              <w:t>按上述有组织粉尘产生量估算无组织粉尘产生量为0.196t/a，无组织粉尘经过厂房隔挡及自重沉降后可降低粉尘排放的80%，则无组织排放量为0.039t/a。</w:t>
            </w:r>
          </w:p>
          <w:p>
            <w:pPr>
              <w:spacing w:line="360" w:lineRule="auto"/>
              <w:ind w:firstLine="480" w:firstLineChars="200"/>
              <w:rPr>
                <w:sz w:val="24"/>
              </w:rPr>
            </w:pPr>
            <w:r>
              <w:rPr>
                <w:rFonts w:hint="eastAsia"/>
                <w:sz w:val="24"/>
              </w:rPr>
              <w:t>②抓机尾气</w:t>
            </w:r>
          </w:p>
          <w:p>
            <w:pPr>
              <w:spacing w:line="360" w:lineRule="auto"/>
              <w:ind w:firstLine="480" w:firstLineChars="200"/>
              <w:rPr>
                <w:rFonts w:eastAsia="黑体"/>
                <w:sz w:val="24"/>
              </w:rPr>
            </w:pPr>
            <w:r>
              <w:rPr>
                <w:rFonts w:hint="eastAsia"/>
                <w:sz w:val="24"/>
              </w:rPr>
              <w:t>本项目采用1台抓机用于卸车及上料，以柴油为燃料，尾气中污染物主要为CO、HC、NO</w:t>
            </w:r>
            <w:r>
              <w:rPr>
                <w:rFonts w:hint="eastAsia"/>
                <w:sz w:val="24"/>
                <w:vertAlign w:val="subscript"/>
              </w:rPr>
              <w:t>X</w:t>
            </w:r>
            <w:r>
              <w:rPr>
                <w:rFonts w:hint="eastAsia"/>
                <w:sz w:val="24"/>
              </w:rPr>
              <w:t>等，只在来料卸车及大件上料时运行，为间歇运行，日运行时间短，尾气排放量小。</w:t>
            </w:r>
          </w:p>
          <w:p>
            <w:pPr>
              <w:adjustRightInd w:val="0"/>
              <w:snapToGrid w:val="0"/>
              <w:spacing w:line="520" w:lineRule="exact"/>
              <w:ind w:left="360"/>
              <w:rPr>
                <w:rFonts w:eastAsia="黑体"/>
                <w:sz w:val="24"/>
              </w:rPr>
            </w:pPr>
            <w:r>
              <w:rPr>
                <w:rFonts w:hint="eastAsia" w:ascii="宋体" w:hAnsi="宋体" w:cs="宋体"/>
                <w:b/>
                <w:bCs/>
                <w:spacing w:val="-10"/>
                <w:sz w:val="24"/>
              </w:rPr>
              <w:t>（2）废气产及排放情况</w:t>
            </w:r>
          </w:p>
          <w:p>
            <w:pPr>
              <w:snapToGrid w:val="0"/>
              <w:spacing w:before="120" w:beforeLines="50" w:after="120" w:afterLines="50"/>
              <w:ind w:firstLine="397"/>
              <w:jc w:val="center"/>
              <w:rPr>
                <w:rFonts w:eastAsia="黑体"/>
                <w:sz w:val="24"/>
              </w:rPr>
            </w:pPr>
            <w:r>
              <w:rPr>
                <w:rFonts w:hint="eastAsia" w:eastAsia="黑体"/>
                <w:sz w:val="24"/>
              </w:rPr>
              <w:t>表4-1   项目废气</w:t>
            </w:r>
            <w:r>
              <w:rPr>
                <w:rFonts w:eastAsia="黑体"/>
                <w:sz w:val="24"/>
              </w:rPr>
              <w:t>产排</w:t>
            </w:r>
            <w:r>
              <w:rPr>
                <w:rFonts w:hint="eastAsia" w:eastAsia="黑体"/>
                <w:sz w:val="24"/>
              </w:rPr>
              <w:t>情况</w:t>
            </w:r>
            <w:r>
              <w:rPr>
                <w:rFonts w:eastAsia="黑体"/>
                <w:sz w:val="24"/>
              </w:rPr>
              <w:t>一览表</w:t>
            </w:r>
          </w:p>
          <w:tbl>
            <w:tblPr>
              <w:tblStyle w:val="19"/>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66"/>
              <w:gridCol w:w="830"/>
              <w:gridCol w:w="990"/>
              <w:gridCol w:w="1180"/>
              <w:gridCol w:w="580"/>
              <w:gridCol w:w="871"/>
              <w:gridCol w:w="990"/>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327" w:type="pct"/>
                  <w:vMerge w:val="restart"/>
                  <w:vAlign w:val="center"/>
                </w:tcPr>
                <w:p>
                  <w:pPr>
                    <w:snapToGrid w:val="0"/>
                    <w:jc w:val="center"/>
                    <w:rPr>
                      <w:szCs w:val="21"/>
                    </w:rPr>
                  </w:pPr>
                  <w:r>
                    <w:rPr>
                      <w:rFonts w:hAnsi="宋体"/>
                      <w:szCs w:val="21"/>
                    </w:rPr>
                    <w:t>产污环节</w:t>
                  </w:r>
                </w:p>
              </w:tc>
              <w:tc>
                <w:tcPr>
                  <w:tcW w:w="484" w:type="pct"/>
                  <w:vMerge w:val="restart"/>
                  <w:vAlign w:val="center"/>
                </w:tcPr>
                <w:p>
                  <w:pPr>
                    <w:snapToGrid w:val="0"/>
                    <w:jc w:val="center"/>
                    <w:rPr>
                      <w:szCs w:val="21"/>
                    </w:rPr>
                  </w:pPr>
                  <w:r>
                    <w:rPr>
                      <w:rFonts w:hAnsi="宋体"/>
                      <w:szCs w:val="21"/>
                    </w:rPr>
                    <w:t>污染物种类</w:t>
                  </w:r>
                </w:p>
              </w:tc>
              <w:tc>
                <w:tcPr>
                  <w:tcW w:w="1896" w:type="pct"/>
                  <w:gridSpan w:val="3"/>
                  <w:vAlign w:val="center"/>
                </w:tcPr>
                <w:p>
                  <w:pPr>
                    <w:snapToGrid w:val="0"/>
                    <w:jc w:val="center"/>
                    <w:rPr>
                      <w:szCs w:val="21"/>
                    </w:rPr>
                  </w:pPr>
                  <w:r>
                    <w:rPr>
                      <w:rFonts w:hAnsi="宋体"/>
                      <w:szCs w:val="21"/>
                    </w:rPr>
                    <w:t>产生情况</w:t>
                  </w:r>
                </w:p>
              </w:tc>
              <w:tc>
                <w:tcPr>
                  <w:tcW w:w="367" w:type="pct"/>
                  <w:vMerge w:val="restart"/>
                  <w:vAlign w:val="center"/>
                </w:tcPr>
                <w:p>
                  <w:pPr>
                    <w:snapToGrid w:val="0"/>
                    <w:jc w:val="center"/>
                    <w:rPr>
                      <w:szCs w:val="21"/>
                    </w:rPr>
                  </w:pPr>
                  <w:r>
                    <w:rPr>
                      <w:rFonts w:hAnsi="宋体"/>
                      <w:szCs w:val="21"/>
                    </w:rPr>
                    <w:t>排放形式</w:t>
                  </w:r>
                </w:p>
              </w:tc>
              <w:tc>
                <w:tcPr>
                  <w:tcW w:w="1924" w:type="pct"/>
                  <w:gridSpan w:val="3"/>
                  <w:vAlign w:val="center"/>
                </w:tcPr>
                <w:p>
                  <w:pPr>
                    <w:snapToGrid w:val="0"/>
                    <w:jc w:val="center"/>
                    <w:rPr>
                      <w:szCs w:val="21"/>
                    </w:rPr>
                  </w:pPr>
                  <w:r>
                    <w:rPr>
                      <w:rFonts w:hAnsi="宋体"/>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vMerge w:val="continue"/>
                  <w:vAlign w:val="center"/>
                </w:tcPr>
                <w:p>
                  <w:pPr>
                    <w:snapToGrid w:val="0"/>
                    <w:jc w:val="center"/>
                    <w:rPr>
                      <w:szCs w:val="21"/>
                    </w:rPr>
                  </w:pPr>
                </w:p>
              </w:tc>
              <w:tc>
                <w:tcPr>
                  <w:tcW w:w="484" w:type="pct"/>
                  <w:vMerge w:val="continue"/>
                  <w:vAlign w:val="center"/>
                </w:tcPr>
                <w:p>
                  <w:pPr>
                    <w:snapToGrid w:val="0"/>
                    <w:jc w:val="center"/>
                    <w:rPr>
                      <w:szCs w:val="21"/>
                    </w:rPr>
                  </w:pPr>
                </w:p>
              </w:tc>
              <w:tc>
                <w:tcPr>
                  <w:tcW w:w="524" w:type="pct"/>
                  <w:vAlign w:val="center"/>
                </w:tcPr>
                <w:p>
                  <w:pPr>
                    <w:adjustRightInd w:val="0"/>
                    <w:snapToGrid w:val="0"/>
                    <w:jc w:val="center"/>
                    <w:rPr>
                      <w:kern w:val="0"/>
                      <w:szCs w:val="21"/>
                    </w:rPr>
                  </w:pPr>
                  <w:r>
                    <w:rPr>
                      <w:szCs w:val="21"/>
                    </w:rPr>
                    <w:t>产生量（t/a）</w:t>
                  </w:r>
                </w:p>
              </w:tc>
              <w:tc>
                <w:tcPr>
                  <w:tcW w:w="626" w:type="pct"/>
                  <w:vAlign w:val="center"/>
                </w:tcPr>
                <w:p>
                  <w:pPr>
                    <w:adjustRightInd w:val="0"/>
                    <w:snapToGrid w:val="0"/>
                    <w:jc w:val="center"/>
                    <w:rPr>
                      <w:kern w:val="0"/>
                      <w:szCs w:val="21"/>
                      <w:lang w:val="de-DE"/>
                    </w:rPr>
                  </w:pPr>
                  <w:r>
                    <w:rPr>
                      <w:kern w:val="0"/>
                      <w:szCs w:val="21"/>
                    </w:rPr>
                    <w:t>产生速率（kg/h）</w:t>
                  </w:r>
                </w:p>
              </w:tc>
              <w:tc>
                <w:tcPr>
                  <w:tcW w:w="745" w:type="pct"/>
                  <w:vAlign w:val="center"/>
                </w:tcPr>
                <w:p>
                  <w:pPr>
                    <w:jc w:val="center"/>
                    <w:rPr>
                      <w:szCs w:val="21"/>
                    </w:rPr>
                  </w:pPr>
                  <w:r>
                    <w:rPr>
                      <w:kern w:val="0"/>
                      <w:szCs w:val="21"/>
                    </w:rPr>
                    <w:t>产生浓度（mg/m</w:t>
                  </w:r>
                  <w:r>
                    <w:rPr>
                      <w:kern w:val="0"/>
                      <w:szCs w:val="21"/>
                      <w:vertAlign w:val="superscript"/>
                    </w:rPr>
                    <w:t>3</w:t>
                  </w:r>
                  <w:r>
                    <w:rPr>
                      <w:kern w:val="0"/>
                      <w:szCs w:val="21"/>
                    </w:rPr>
                    <w:t>）</w:t>
                  </w:r>
                </w:p>
              </w:tc>
              <w:tc>
                <w:tcPr>
                  <w:tcW w:w="367" w:type="pct"/>
                  <w:vMerge w:val="continue"/>
                  <w:vAlign w:val="center"/>
                </w:tcPr>
                <w:p>
                  <w:pPr>
                    <w:snapToGrid w:val="0"/>
                    <w:jc w:val="center"/>
                    <w:rPr>
                      <w:szCs w:val="21"/>
                    </w:rPr>
                  </w:pPr>
                </w:p>
              </w:tc>
              <w:tc>
                <w:tcPr>
                  <w:tcW w:w="551" w:type="pct"/>
                  <w:vAlign w:val="center"/>
                </w:tcPr>
                <w:p>
                  <w:pPr>
                    <w:adjustRightInd w:val="0"/>
                    <w:snapToGrid w:val="0"/>
                    <w:jc w:val="center"/>
                    <w:rPr>
                      <w:kern w:val="0"/>
                      <w:szCs w:val="21"/>
                    </w:rPr>
                  </w:pPr>
                  <w:r>
                    <w:rPr>
                      <w:szCs w:val="21"/>
                    </w:rPr>
                    <w:t>排放量（t/a）</w:t>
                  </w:r>
                </w:p>
              </w:tc>
              <w:tc>
                <w:tcPr>
                  <w:tcW w:w="626" w:type="pct"/>
                  <w:vAlign w:val="center"/>
                </w:tcPr>
                <w:p>
                  <w:pPr>
                    <w:adjustRightInd w:val="0"/>
                    <w:snapToGrid w:val="0"/>
                    <w:jc w:val="center"/>
                    <w:rPr>
                      <w:kern w:val="0"/>
                      <w:szCs w:val="21"/>
                      <w:lang w:val="de-DE"/>
                    </w:rPr>
                  </w:pPr>
                  <w:r>
                    <w:rPr>
                      <w:kern w:val="0"/>
                      <w:szCs w:val="21"/>
                    </w:rPr>
                    <w:t>排放速率（kg/h）</w:t>
                  </w:r>
                </w:p>
              </w:tc>
              <w:tc>
                <w:tcPr>
                  <w:tcW w:w="745" w:type="pct"/>
                  <w:vAlign w:val="center"/>
                </w:tcPr>
                <w:p>
                  <w:pPr>
                    <w:jc w:val="center"/>
                    <w:rPr>
                      <w:szCs w:val="21"/>
                    </w:rPr>
                  </w:pPr>
                  <w:r>
                    <w:rPr>
                      <w:kern w:val="0"/>
                      <w:szCs w:val="21"/>
                    </w:rPr>
                    <w:t>排放浓度（mg/m</w:t>
                  </w:r>
                  <w:r>
                    <w:rPr>
                      <w:kern w:val="0"/>
                      <w:szCs w:val="21"/>
                      <w:vertAlign w:val="superscript"/>
                    </w:rPr>
                    <w:t>3</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vMerge w:val="restart"/>
                  <w:vAlign w:val="center"/>
                </w:tcPr>
                <w:p>
                  <w:pPr>
                    <w:snapToGrid w:val="0"/>
                    <w:jc w:val="center"/>
                    <w:rPr>
                      <w:szCs w:val="21"/>
                    </w:rPr>
                  </w:pPr>
                  <w:r>
                    <w:rPr>
                      <w:rFonts w:hint="eastAsia"/>
                      <w:szCs w:val="21"/>
                    </w:rPr>
                    <w:t>破碎磁选</w:t>
                  </w:r>
                </w:p>
              </w:tc>
              <w:tc>
                <w:tcPr>
                  <w:tcW w:w="484" w:type="pct"/>
                  <w:vMerge w:val="restart"/>
                  <w:vAlign w:val="center"/>
                </w:tcPr>
                <w:p>
                  <w:pPr>
                    <w:snapToGrid w:val="0"/>
                    <w:jc w:val="center"/>
                    <w:rPr>
                      <w:szCs w:val="21"/>
                    </w:rPr>
                  </w:pPr>
                  <w:r>
                    <w:rPr>
                      <w:rFonts w:hint="eastAsia"/>
                      <w:szCs w:val="21"/>
                    </w:rPr>
                    <w:t>颗粒物</w:t>
                  </w:r>
                </w:p>
              </w:tc>
              <w:tc>
                <w:tcPr>
                  <w:tcW w:w="524" w:type="pct"/>
                  <w:vAlign w:val="center"/>
                </w:tcPr>
                <w:p>
                  <w:pPr>
                    <w:snapToGrid w:val="0"/>
                    <w:jc w:val="center"/>
                    <w:rPr>
                      <w:szCs w:val="21"/>
                    </w:rPr>
                  </w:pPr>
                  <w:r>
                    <w:rPr>
                      <w:rFonts w:hint="eastAsia"/>
                      <w:color w:val="000000"/>
                      <w:szCs w:val="21"/>
                    </w:rPr>
                    <w:t>1.62</w:t>
                  </w:r>
                </w:p>
              </w:tc>
              <w:tc>
                <w:tcPr>
                  <w:tcW w:w="626" w:type="pct"/>
                  <w:vAlign w:val="center"/>
                </w:tcPr>
                <w:p>
                  <w:pPr>
                    <w:snapToGrid w:val="0"/>
                    <w:jc w:val="center"/>
                    <w:rPr>
                      <w:szCs w:val="21"/>
                    </w:rPr>
                  </w:pPr>
                  <w:r>
                    <w:rPr>
                      <w:rFonts w:hint="eastAsia"/>
                      <w:szCs w:val="21"/>
                    </w:rPr>
                    <w:t>0.675</w:t>
                  </w:r>
                </w:p>
              </w:tc>
              <w:tc>
                <w:tcPr>
                  <w:tcW w:w="745" w:type="pct"/>
                  <w:vAlign w:val="center"/>
                </w:tcPr>
                <w:p>
                  <w:pPr>
                    <w:snapToGrid w:val="0"/>
                    <w:jc w:val="center"/>
                    <w:rPr>
                      <w:szCs w:val="21"/>
                    </w:rPr>
                  </w:pPr>
                  <w:r>
                    <w:rPr>
                      <w:rFonts w:hint="eastAsia"/>
                      <w:color w:val="000000" w:themeColor="text1"/>
                      <w:szCs w:val="21"/>
                      <w14:textFill>
                        <w14:solidFill>
                          <w14:schemeClr w14:val="tx1"/>
                        </w14:solidFill>
                      </w14:textFill>
                    </w:rPr>
                    <w:t>75</w:t>
                  </w:r>
                </w:p>
              </w:tc>
              <w:tc>
                <w:tcPr>
                  <w:tcW w:w="367" w:type="pct"/>
                  <w:vAlign w:val="center"/>
                </w:tcPr>
                <w:p>
                  <w:pPr>
                    <w:snapToGrid w:val="0"/>
                    <w:jc w:val="center"/>
                    <w:rPr>
                      <w:szCs w:val="21"/>
                    </w:rPr>
                  </w:pPr>
                  <w:r>
                    <w:rPr>
                      <w:rFonts w:hint="eastAsia"/>
                      <w:szCs w:val="21"/>
                    </w:rPr>
                    <w:t>有组织</w:t>
                  </w:r>
                </w:p>
              </w:tc>
              <w:tc>
                <w:tcPr>
                  <w:tcW w:w="551" w:type="pct"/>
                  <w:vAlign w:val="center"/>
                </w:tcPr>
                <w:p>
                  <w:pPr>
                    <w:snapToGrid w:val="0"/>
                    <w:jc w:val="center"/>
                    <w:rPr>
                      <w:szCs w:val="21"/>
                    </w:rPr>
                  </w:pPr>
                  <w:r>
                    <w:rPr>
                      <w:rFonts w:hint="eastAsia"/>
                      <w:szCs w:val="21"/>
                    </w:rPr>
                    <w:t>0.016</w:t>
                  </w:r>
                </w:p>
              </w:tc>
              <w:tc>
                <w:tcPr>
                  <w:tcW w:w="626" w:type="pct"/>
                  <w:vAlign w:val="center"/>
                </w:tcPr>
                <w:p>
                  <w:pPr>
                    <w:snapToGrid w:val="0"/>
                    <w:jc w:val="center"/>
                    <w:rPr>
                      <w:szCs w:val="21"/>
                    </w:rPr>
                  </w:pPr>
                  <w:r>
                    <w:rPr>
                      <w:rFonts w:hint="eastAsia"/>
                      <w:szCs w:val="21"/>
                    </w:rPr>
                    <w:t>0.007</w:t>
                  </w:r>
                </w:p>
              </w:tc>
              <w:tc>
                <w:tcPr>
                  <w:tcW w:w="745" w:type="pct"/>
                  <w:vAlign w:val="center"/>
                </w:tcPr>
                <w:p>
                  <w:pPr>
                    <w:snapToGrid w:val="0"/>
                    <w:jc w:val="center"/>
                    <w:rPr>
                      <w:szCs w:val="21"/>
                    </w:rPr>
                  </w:pPr>
                  <w:r>
                    <w:rPr>
                      <w:rFonts w:hint="eastAsia"/>
                      <w:color w:val="000000" w:themeColor="text1"/>
                      <w:szCs w:val="21"/>
                      <w14:textFill>
                        <w14:solidFill>
                          <w14:schemeClr w14:val="tx1"/>
                        </w14:solidFill>
                      </w14:textFill>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vMerge w:val="continue"/>
                  <w:vAlign w:val="center"/>
                </w:tcPr>
                <w:p>
                  <w:pPr>
                    <w:snapToGrid w:val="0"/>
                    <w:jc w:val="center"/>
                    <w:rPr>
                      <w:szCs w:val="21"/>
                    </w:rPr>
                  </w:pPr>
                </w:p>
              </w:tc>
              <w:tc>
                <w:tcPr>
                  <w:tcW w:w="484" w:type="pct"/>
                  <w:vMerge w:val="continue"/>
                  <w:vAlign w:val="center"/>
                </w:tcPr>
                <w:p>
                  <w:pPr>
                    <w:snapToGrid w:val="0"/>
                    <w:jc w:val="center"/>
                    <w:rPr>
                      <w:szCs w:val="21"/>
                    </w:rPr>
                  </w:pPr>
                </w:p>
              </w:tc>
              <w:tc>
                <w:tcPr>
                  <w:tcW w:w="524" w:type="pct"/>
                  <w:vAlign w:val="center"/>
                </w:tcPr>
                <w:p>
                  <w:pPr>
                    <w:snapToGrid w:val="0"/>
                    <w:jc w:val="center"/>
                    <w:rPr>
                      <w:szCs w:val="21"/>
                    </w:rPr>
                  </w:pPr>
                  <w:r>
                    <w:rPr>
                      <w:rFonts w:hint="eastAsia"/>
                      <w:color w:val="000000"/>
                      <w:szCs w:val="21"/>
                    </w:rPr>
                    <w:t>0.196</w:t>
                  </w:r>
                </w:p>
              </w:tc>
              <w:tc>
                <w:tcPr>
                  <w:tcW w:w="626" w:type="pct"/>
                  <w:vAlign w:val="center"/>
                </w:tcPr>
                <w:p>
                  <w:pPr>
                    <w:snapToGrid w:val="0"/>
                    <w:jc w:val="center"/>
                    <w:rPr>
                      <w:szCs w:val="21"/>
                    </w:rPr>
                  </w:pPr>
                  <w:r>
                    <w:rPr>
                      <w:rFonts w:hint="eastAsia"/>
                      <w:color w:val="000000"/>
                      <w:szCs w:val="21"/>
                    </w:rPr>
                    <w:t>0.08</w:t>
                  </w:r>
                </w:p>
              </w:tc>
              <w:tc>
                <w:tcPr>
                  <w:tcW w:w="745" w:type="pct"/>
                  <w:vAlign w:val="center"/>
                </w:tcPr>
                <w:p>
                  <w:pPr>
                    <w:snapToGrid w:val="0"/>
                    <w:jc w:val="center"/>
                    <w:rPr>
                      <w:szCs w:val="21"/>
                    </w:rPr>
                  </w:pPr>
                  <w:r>
                    <w:rPr>
                      <w:rFonts w:hint="eastAsia"/>
                      <w:szCs w:val="21"/>
                    </w:rPr>
                    <w:t>/</w:t>
                  </w:r>
                </w:p>
              </w:tc>
              <w:tc>
                <w:tcPr>
                  <w:tcW w:w="367" w:type="pct"/>
                  <w:vAlign w:val="center"/>
                </w:tcPr>
                <w:p>
                  <w:pPr>
                    <w:snapToGrid w:val="0"/>
                    <w:jc w:val="center"/>
                    <w:rPr>
                      <w:szCs w:val="21"/>
                    </w:rPr>
                  </w:pPr>
                  <w:r>
                    <w:rPr>
                      <w:rFonts w:hint="eastAsia"/>
                      <w:szCs w:val="21"/>
                    </w:rPr>
                    <w:t>无组织</w:t>
                  </w:r>
                </w:p>
              </w:tc>
              <w:tc>
                <w:tcPr>
                  <w:tcW w:w="551" w:type="pct"/>
                  <w:vAlign w:val="center"/>
                </w:tcPr>
                <w:p>
                  <w:pPr>
                    <w:snapToGrid w:val="0"/>
                    <w:jc w:val="center"/>
                    <w:rPr>
                      <w:szCs w:val="21"/>
                    </w:rPr>
                  </w:pPr>
                  <w:r>
                    <w:rPr>
                      <w:rFonts w:hint="eastAsia"/>
                      <w:color w:val="000000"/>
                      <w:szCs w:val="21"/>
                    </w:rPr>
                    <w:t>0.039</w:t>
                  </w:r>
                </w:p>
              </w:tc>
              <w:tc>
                <w:tcPr>
                  <w:tcW w:w="626" w:type="pct"/>
                  <w:vAlign w:val="center"/>
                </w:tcPr>
                <w:p>
                  <w:pPr>
                    <w:snapToGrid w:val="0"/>
                    <w:jc w:val="center"/>
                    <w:rPr>
                      <w:szCs w:val="21"/>
                    </w:rPr>
                  </w:pPr>
                  <w:r>
                    <w:rPr>
                      <w:rFonts w:hint="eastAsia"/>
                      <w:color w:val="000000"/>
                      <w:szCs w:val="21"/>
                    </w:rPr>
                    <w:t>0.016</w:t>
                  </w:r>
                </w:p>
              </w:tc>
              <w:tc>
                <w:tcPr>
                  <w:tcW w:w="745" w:type="pct"/>
                  <w:vAlign w:val="center"/>
                </w:tcPr>
                <w:p>
                  <w:pPr>
                    <w:snapToGri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vAlign w:val="center"/>
                </w:tcPr>
                <w:p>
                  <w:pPr>
                    <w:snapToGrid w:val="0"/>
                    <w:jc w:val="center"/>
                    <w:rPr>
                      <w:szCs w:val="21"/>
                    </w:rPr>
                  </w:pPr>
                  <w:r>
                    <w:rPr>
                      <w:rFonts w:hint="eastAsia"/>
                      <w:szCs w:val="21"/>
                    </w:rPr>
                    <w:t>抓机尾气</w:t>
                  </w:r>
                </w:p>
              </w:tc>
              <w:tc>
                <w:tcPr>
                  <w:tcW w:w="484" w:type="pct"/>
                  <w:vAlign w:val="center"/>
                </w:tcPr>
                <w:p>
                  <w:pPr>
                    <w:snapToGrid w:val="0"/>
                    <w:jc w:val="center"/>
                    <w:rPr>
                      <w:szCs w:val="21"/>
                    </w:rPr>
                  </w:pPr>
                  <w:r>
                    <w:rPr>
                      <w:rFonts w:hint="eastAsia"/>
                      <w:sz w:val="24"/>
                    </w:rPr>
                    <w:t>CO、HC、NO</w:t>
                  </w:r>
                  <w:r>
                    <w:rPr>
                      <w:rFonts w:hint="eastAsia"/>
                      <w:sz w:val="24"/>
                      <w:vertAlign w:val="subscript"/>
                    </w:rPr>
                    <w:t>X</w:t>
                  </w:r>
                </w:p>
              </w:tc>
              <w:tc>
                <w:tcPr>
                  <w:tcW w:w="4187" w:type="pct"/>
                  <w:gridSpan w:val="7"/>
                  <w:vAlign w:val="center"/>
                </w:tcPr>
                <w:p>
                  <w:pPr>
                    <w:snapToGrid w:val="0"/>
                    <w:jc w:val="center"/>
                    <w:rPr>
                      <w:szCs w:val="21"/>
                    </w:rPr>
                  </w:pPr>
                  <w:r>
                    <w:rPr>
                      <w:rFonts w:hint="eastAsia"/>
                      <w:szCs w:val="21"/>
                    </w:rPr>
                    <w:t>间歇运行，尾气排放少</w:t>
                  </w:r>
                </w:p>
              </w:tc>
            </w:tr>
          </w:tbl>
          <w:p>
            <w:pPr>
              <w:snapToGrid w:val="0"/>
              <w:spacing w:before="120" w:beforeLines="50" w:after="120" w:afterLines="50"/>
              <w:ind w:firstLine="397"/>
              <w:jc w:val="center"/>
              <w:rPr>
                <w:rFonts w:eastAsia="黑体"/>
                <w:sz w:val="24"/>
              </w:rPr>
            </w:pPr>
            <w:r>
              <w:rPr>
                <w:rFonts w:eastAsia="黑体"/>
                <w:sz w:val="24"/>
              </w:rPr>
              <w:t>表</w:t>
            </w:r>
            <w:r>
              <w:rPr>
                <w:rFonts w:hint="eastAsia" w:eastAsia="黑体"/>
                <w:sz w:val="24"/>
              </w:rPr>
              <w:t xml:space="preserve">4-2 </w:t>
            </w:r>
            <w:r>
              <w:rPr>
                <w:rFonts w:eastAsia="黑体"/>
                <w:sz w:val="24"/>
              </w:rPr>
              <w:t xml:space="preserve"> </w:t>
            </w:r>
            <w:r>
              <w:rPr>
                <w:rFonts w:hint="eastAsia" w:eastAsia="黑体"/>
                <w:sz w:val="24"/>
              </w:rPr>
              <w:t>项目废气治理措施情况一览表</w:t>
            </w:r>
            <w:r>
              <w:rPr>
                <w:rFonts w:eastAsia="黑体"/>
                <w:sz w:val="24"/>
              </w:rPr>
              <w:t xml:space="preserve"> </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835"/>
              <w:gridCol w:w="851"/>
              <w:gridCol w:w="792"/>
              <w:gridCol w:w="1289"/>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Merge w:val="restart"/>
                  <w:vAlign w:val="center"/>
                </w:tcPr>
                <w:p>
                  <w:pPr>
                    <w:snapToGrid w:val="0"/>
                    <w:jc w:val="center"/>
                    <w:rPr>
                      <w:rFonts w:eastAsia="黑体"/>
                      <w:sz w:val="24"/>
                    </w:rPr>
                  </w:pPr>
                  <w:r>
                    <w:rPr>
                      <w:rFonts w:hAnsi="宋体"/>
                      <w:szCs w:val="21"/>
                    </w:rPr>
                    <w:t>污染物种类</w:t>
                  </w:r>
                </w:p>
              </w:tc>
              <w:tc>
                <w:tcPr>
                  <w:tcW w:w="4450" w:type="pct"/>
                  <w:gridSpan w:val="5"/>
                  <w:vAlign w:val="center"/>
                </w:tcPr>
                <w:p>
                  <w:pPr>
                    <w:snapToGrid w:val="0"/>
                    <w:jc w:val="center"/>
                    <w:rPr>
                      <w:rFonts w:eastAsia="黑体"/>
                      <w:sz w:val="24"/>
                    </w:rPr>
                  </w:pPr>
                  <w:r>
                    <w:rPr>
                      <w:rFonts w:hAnsi="宋体"/>
                      <w:szCs w:val="21"/>
                    </w:rPr>
                    <w:t>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Merge w:val="continue"/>
                  <w:vAlign w:val="center"/>
                </w:tcPr>
                <w:p>
                  <w:pPr>
                    <w:snapToGrid w:val="0"/>
                    <w:jc w:val="center"/>
                    <w:rPr>
                      <w:szCs w:val="21"/>
                    </w:rPr>
                  </w:pPr>
                </w:p>
              </w:tc>
              <w:tc>
                <w:tcPr>
                  <w:tcW w:w="1786" w:type="pct"/>
                  <w:vAlign w:val="center"/>
                </w:tcPr>
                <w:p>
                  <w:pPr>
                    <w:snapToGrid w:val="0"/>
                    <w:jc w:val="center"/>
                    <w:rPr>
                      <w:rFonts w:hAnsi="宋体"/>
                      <w:szCs w:val="21"/>
                    </w:rPr>
                  </w:pPr>
                  <w:r>
                    <w:rPr>
                      <w:rFonts w:hint="eastAsia" w:hAnsi="宋体"/>
                      <w:szCs w:val="21"/>
                    </w:rPr>
                    <w:t>名称</w:t>
                  </w:r>
                </w:p>
              </w:tc>
              <w:tc>
                <w:tcPr>
                  <w:tcW w:w="536" w:type="pct"/>
                  <w:vAlign w:val="center"/>
                </w:tcPr>
                <w:p>
                  <w:pPr>
                    <w:snapToGrid w:val="0"/>
                    <w:jc w:val="center"/>
                    <w:rPr>
                      <w:rFonts w:hAnsi="宋体"/>
                      <w:szCs w:val="21"/>
                    </w:rPr>
                  </w:pPr>
                  <w:r>
                    <w:rPr>
                      <w:rFonts w:hint="eastAsia" w:hAnsi="宋体"/>
                      <w:szCs w:val="21"/>
                    </w:rPr>
                    <w:t>处理</w:t>
                  </w:r>
                </w:p>
                <w:p>
                  <w:pPr>
                    <w:snapToGrid w:val="0"/>
                    <w:jc w:val="center"/>
                    <w:rPr>
                      <w:rFonts w:hAnsi="宋体"/>
                      <w:szCs w:val="21"/>
                    </w:rPr>
                  </w:pPr>
                  <w:r>
                    <w:rPr>
                      <w:rFonts w:hint="eastAsia" w:hAnsi="宋体"/>
                      <w:szCs w:val="21"/>
                    </w:rPr>
                    <w:t>能力</w:t>
                  </w:r>
                </w:p>
              </w:tc>
              <w:tc>
                <w:tcPr>
                  <w:tcW w:w="499" w:type="pct"/>
                  <w:vAlign w:val="center"/>
                </w:tcPr>
                <w:p>
                  <w:pPr>
                    <w:snapToGrid w:val="0"/>
                    <w:jc w:val="center"/>
                    <w:rPr>
                      <w:rFonts w:hAnsi="宋体"/>
                      <w:szCs w:val="21"/>
                    </w:rPr>
                  </w:pPr>
                  <w:r>
                    <w:rPr>
                      <w:rFonts w:hint="eastAsia" w:hAnsi="宋体"/>
                      <w:szCs w:val="21"/>
                    </w:rPr>
                    <w:t>收集效率</w:t>
                  </w:r>
                </w:p>
              </w:tc>
              <w:tc>
                <w:tcPr>
                  <w:tcW w:w="812" w:type="pct"/>
                  <w:vAlign w:val="center"/>
                </w:tcPr>
                <w:p>
                  <w:pPr>
                    <w:snapToGrid w:val="0"/>
                    <w:jc w:val="center"/>
                    <w:rPr>
                      <w:rFonts w:hAnsi="宋体"/>
                      <w:szCs w:val="21"/>
                    </w:rPr>
                  </w:pPr>
                  <w:r>
                    <w:rPr>
                      <w:rFonts w:hint="eastAsia" w:hAnsi="宋体"/>
                      <w:szCs w:val="21"/>
                    </w:rPr>
                    <w:t xml:space="preserve">治理工艺去除率 </w:t>
                  </w:r>
                </w:p>
              </w:tc>
              <w:tc>
                <w:tcPr>
                  <w:tcW w:w="816" w:type="pct"/>
                  <w:vAlign w:val="center"/>
                </w:tcPr>
                <w:p>
                  <w:pPr>
                    <w:snapToGrid w:val="0"/>
                    <w:jc w:val="center"/>
                    <w:rPr>
                      <w:rFonts w:hAnsi="宋体"/>
                      <w:szCs w:val="21"/>
                    </w:rPr>
                  </w:pPr>
                  <w:r>
                    <w:rPr>
                      <w:rFonts w:hint="eastAsia" w:hAnsi="宋体"/>
                      <w:szCs w:val="21"/>
                    </w:rPr>
                    <w:t>是否为可行技术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 w:type="pct"/>
                  <w:vAlign w:val="center"/>
                </w:tcPr>
                <w:p>
                  <w:pPr>
                    <w:snapToGrid w:val="0"/>
                    <w:jc w:val="center"/>
                    <w:rPr>
                      <w:szCs w:val="21"/>
                    </w:rPr>
                  </w:pPr>
                  <w:r>
                    <w:rPr>
                      <w:rFonts w:hint="eastAsia"/>
                      <w:szCs w:val="21"/>
                    </w:rPr>
                    <w:t>颗粒物</w:t>
                  </w:r>
                </w:p>
              </w:tc>
              <w:tc>
                <w:tcPr>
                  <w:tcW w:w="1786" w:type="pct"/>
                  <w:vAlign w:val="center"/>
                </w:tcPr>
                <w:p>
                  <w:pPr>
                    <w:snapToGrid w:val="0"/>
                    <w:jc w:val="center"/>
                    <w:rPr>
                      <w:szCs w:val="21"/>
                    </w:rPr>
                  </w:pPr>
                  <w:r>
                    <w:rPr>
                      <w:rFonts w:hint="eastAsia"/>
                      <w:szCs w:val="21"/>
                    </w:rPr>
                    <w:t>集气罩</w:t>
                  </w:r>
                  <w:r>
                    <w:rPr>
                      <w:szCs w:val="21"/>
                    </w:rPr>
                    <w:t>+</w:t>
                  </w:r>
                  <w:r>
                    <w:rPr>
                      <w:rFonts w:hint="eastAsia"/>
                      <w:szCs w:val="21"/>
                    </w:rPr>
                    <w:t>旋风+</w:t>
                  </w:r>
                  <w:r>
                    <w:rPr>
                      <w:rFonts w:hint="eastAsia"/>
                      <w:bCs/>
                      <w:color w:val="000000"/>
                      <w:szCs w:val="21"/>
                    </w:rPr>
                    <w:t>袋式除尘器</w:t>
                  </w:r>
                  <w:r>
                    <w:rPr>
                      <w:color w:val="000000"/>
                      <w:szCs w:val="21"/>
                    </w:rPr>
                    <w:t>+1</w:t>
                  </w:r>
                  <w:r>
                    <w:rPr>
                      <w:rFonts w:hAnsi="宋体"/>
                      <w:color w:val="000000"/>
                      <w:szCs w:val="21"/>
                    </w:rPr>
                    <w:t>根</w:t>
                  </w:r>
                  <w:r>
                    <w:rPr>
                      <w:color w:val="000000"/>
                      <w:szCs w:val="21"/>
                    </w:rPr>
                    <w:t>15m</w:t>
                  </w:r>
                  <w:r>
                    <w:rPr>
                      <w:rFonts w:hAnsi="宋体"/>
                      <w:color w:val="000000"/>
                      <w:szCs w:val="21"/>
                    </w:rPr>
                    <w:t>排气筒</w:t>
                  </w:r>
                </w:p>
              </w:tc>
              <w:tc>
                <w:tcPr>
                  <w:tcW w:w="536" w:type="pct"/>
                  <w:vAlign w:val="center"/>
                </w:tcPr>
                <w:p>
                  <w:pPr>
                    <w:snapToGrid w:val="0"/>
                    <w:jc w:val="center"/>
                    <w:rPr>
                      <w:szCs w:val="21"/>
                    </w:rPr>
                  </w:pPr>
                  <w:r>
                    <w:rPr>
                      <w:szCs w:val="21"/>
                    </w:rPr>
                    <w:t>/</w:t>
                  </w:r>
                </w:p>
              </w:tc>
              <w:tc>
                <w:tcPr>
                  <w:tcW w:w="499" w:type="pct"/>
                  <w:vAlign w:val="center"/>
                </w:tcPr>
                <w:p>
                  <w:pPr>
                    <w:snapToGrid w:val="0"/>
                    <w:jc w:val="center"/>
                    <w:rPr>
                      <w:szCs w:val="21"/>
                    </w:rPr>
                  </w:pPr>
                  <w:r>
                    <w:rPr>
                      <w:szCs w:val="21"/>
                    </w:rPr>
                    <w:t>90%</w:t>
                  </w:r>
                </w:p>
              </w:tc>
              <w:tc>
                <w:tcPr>
                  <w:tcW w:w="812" w:type="pct"/>
                  <w:vAlign w:val="center"/>
                </w:tcPr>
                <w:p>
                  <w:pPr>
                    <w:snapToGrid w:val="0"/>
                    <w:jc w:val="center"/>
                    <w:rPr>
                      <w:szCs w:val="21"/>
                    </w:rPr>
                  </w:pPr>
                  <w:r>
                    <w:rPr>
                      <w:rFonts w:hint="eastAsia"/>
                      <w:szCs w:val="21"/>
                    </w:rPr>
                    <w:t>99</w:t>
                  </w:r>
                  <w:r>
                    <w:rPr>
                      <w:szCs w:val="21"/>
                    </w:rPr>
                    <w:t>%</w:t>
                  </w:r>
                </w:p>
              </w:tc>
              <w:tc>
                <w:tcPr>
                  <w:tcW w:w="816" w:type="pct"/>
                  <w:vAlign w:val="center"/>
                </w:tcPr>
                <w:p>
                  <w:pPr>
                    <w:snapToGrid w:val="0"/>
                    <w:jc w:val="center"/>
                    <w:rPr>
                      <w:szCs w:val="21"/>
                    </w:rPr>
                  </w:pPr>
                  <w:r>
                    <w:rPr>
                      <w:rFonts w:hAnsi="宋体"/>
                      <w:szCs w:val="21"/>
                    </w:rPr>
                    <w:t>是</w:t>
                  </w:r>
                </w:p>
              </w:tc>
            </w:tr>
          </w:tbl>
          <w:p>
            <w:pPr>
              <w:snapToGrid w:val="0"/>
              <w:spacing w:before="120" w:beforeLines="50" w:after="120" w:afterLines="50"/>
              <w:rPr>
                <w:rFonts w:eastAsia="黑体"/>
                <w:sz w:val="24"/>
              </w:rPr>
            </w:pPr>
          </w:p>
          <w:p>
            <w:pPr>
              <w:snapToGrid w:val="0"/>
              <w:spacing w:before="120" w:beforeLines="50" w:after="120" w:afterLines="50"/>
              <w:ind w:firstLine="397"/>
              <w:jc w:val="center"/>
              <w:rPr>
                <w:rFonts w:eastAsia="黑体"/>
                <w:sz w:val="24"/>
              </w:rPr>
            </w:pPr>
            <w:r>
              <w:rPr>
                <w:rFonts w:eastAsia="黑体"/>
                <w:sz w:val="24"/>
              </w:rPr>
              <w:t>表</w:t>
            </w:r>
            <w:r>
              <w:rPr>
                <w:rFonts w:hint="eastAsia" w:eastAsia="黑体"/>
                <w:sz w:val="24"/>
              </w:rPr>
              <w:t>4-3</w:t>
            </w:r>
            <w:r>
              <w:rPr>
                <w:rFonts w:eastAsia="黑体"/>
                <w:sz w:val="24"/>
              </w:rPr>
              <w:t xml:space="preserve"> </w:t>
            </w:r>
            <w:r>
              <w:rPr>
                <w:rFonts w:hint="eastAsia" w:eastAsia="黑体"/>
                <w:sz w:val="24"/>
              </w:rPr>
              <w:t>项目废气排放口基本情况及监测要求</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10"/>
              <w:gridCol w:w="571"/>
              <w:gridCol w:w="622"/>
              <w:gridCol w:w="616"/>
              <w:gridCol w:w="413"/>
              <w:gridCol w:w="1125"/>
              <w:gridCol w:w="413"/>
              <w:gridCol w:w="413"/>
              <w:gridCol w:w="41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vMerge w:val="restart"/>
                  <w:vAlign w:val="center"/>
                </w:tcPr>
                <w:p>
                  <w:pPr>
                    <w:snapToGrid w:val="0"/>
                    <w:spacing w:before="120" w:beforeLines="50" w:after="120" w:afterLines="50"/>
                    <w:jc w:val="center"/>
                    <w:rPr>
                      <w:szCs w:val="21"/>
                    </w:rPr>
                  </w:pPr>
                  <w:r>
                    <w:rPr>
                      <w:rFonts w:hAnsi="宋体"/>
                      <w:szCs w:val="21"/>
                    </w:rPr>
                    <w:t>污染物种类</w:t>
                  </w:r>
                </w:p>
              </w:tc>
              <w:tc>
                <w:tcPr>
                  <w:tcW w:w="2619" w:type="pct"/>
                  <w:gridSpan w:val="6"/>
                  <w:vAlign w:val="center"/>
                </w:tcPr>
                <w:p>
                  <w:pPr>
                    <w:snapToGrid w:val="0"/>
                    <w:spacing w:before="120" w:beforeLines="50" w:after="120" w:afterLines="50"/>
                    <w:jc w:val="center"/>
                    <w:rPr>
                      <w:szCs w:val="21"/>
                    </w:rPr>
                  </w:pPr>
                  <w:r>
                    <w:rPr>
                      <w:rFonts w:hAnsi="宋体"/>
                      <w:szCs w:val="21"/>
                    </w:rPr>
                    <w:t>排放口基本情况</w:t>
                  </w:r>
                </w:p>
              </w:tc>
              <w:tc>
                <w:tcPr>
                  <w:tcW w:w="781" w:type="pct"/>
                  <w:gridSpan w:val="3"/>
                  <w:vAlign w:val="center"/>
                </w:tcPr>
                <w:p>
                  <w:pPr>
                    <w:snapToGrid w:val="0"/>
                    <w:spacing w:before="120" w:beforeLines="50" w:after="120" w:afterLines="50"/>
                    <w:jc w:val="center"/>
                    <w:rPr>
                      <w:szCs w:val="21"/>
                    </w:rPr>
                  </w:pPr>
                  <w:r>
                    <w:rPr>
                      <w:rFonts w:hAnsi="宋体"/>
                      <w:szCs w:val="21"/>
                    </w:rPr>
                    <w:t>监测要求</w:t>
                  </w:r>
                </w:p>
              </w:tc>
              <w:tc>
                <w:tcPr>
                  <w:tcW w:w="1250" w:type="pct"/>
                  <w:vMerge w:val="restart"/>
                  <w:vAlign w:val="center"/>
                </w:tcPr>
                <w:p>
                  <w:pPr>
                    <w:snapToGrid w:val="0"/>
                    <w:spacing w:before="120" w:beforeLines="50" w:after="120" w:afterLines="50"/>
                    <w:jc w:val="center"/>
                    <w:rPr>
                      <w:szCs w:val="21"/>
                    </w:rPr>
                  </w:pPr>
                  <w:r>
                    <w:rPr>
                      <w:rFonts w:hint="eastAsia"/>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vMerge w:val="continue"/>
                  <w:vAlign w:val="center"/>
                </w:tcPr>
                <w:p>
                  <w:pPr>
                    <w:snapToGrid w:val="0"/>
                    <w:spacing w:before="120" w:beforeLines="50" w:after="120" w:afterLines="50"/>
                    <w:jc w:val="center"/>
                    <w:rPr>
                      <w:szCs w:val="21"/>
                    </w:rPr>
                  </w:pPr>
                </w:p>
              </w:tc>
              <w:tc>
                <w:tcPr>
                  <w:tcW w:w="510" w:type="pct"/>
                  <w:vAlign w:val="center"/>
                </w:tcPr>
                <w:p>
                  <w:pPr>
                    <w:snapToGrid w:val="0"/>
                    <w:spacing w:before="120" w:beforeLines="50" w:after="120" w:afterLines="50"/>
                    <w:jc w:val="center"/>
                    <w:rPr>
                      <w:szCs w:val="21"/>
                    </w:rPr>
                  </w:pPr>
                  <w:r>
                    <w:rPr>
                      <w:rFonts w:hAnsi="宋体"/>
                      <w:szCs w:val="21"/>
                    </w:rPr>
                    <w:t>编号及名称</w:t>
                  </w:r>
                </w:p>
              </w:tc>
              <w:tc>
                <w:tcPr>
                  <w:tcW w:w="360" w:type="pct"/>
                  <w:vAlign w:val="center"/>
                </w:tcPr>
                <w:p>
                  <w:pPr>
                    <w:snapToGrid w:val="0"/>
                    <w:spacing w:before="120" w:beforeLines="50" w:after="120" w:afterLines="50"/>
                    <w:jc w:val="center"/>
                    <w:rPr>
                      <w:szCs w:val="21"/>
                    </w:rPr>
                  </w:pPr>
                  <w:r>
                    <w:rPr>
                      <w:rFonts w:hAnsi="宋体"/>
                      <w:szCs w:val="21"/>
                    </w:rPr>
                    <w:t>高度</w:t>
                  </w:r>
                </w:p>
              </w:tc>
              <w:tc>
                <w:tcPr>
                  <w:tcW w:w="392" w:type="pct"/>
                  <w:vAlign w:val="center"/>
                </w:tcPr>
                <w:p>
                  <w:pPr>
                    <w:snapToGrid w:val="0"/>
                    <w:spacing w:before="120" w:beforeLines="50" w:after="120" w:afterLines="50"/>
                    <w:jc w:val="center"/>
                    <w:rPr>
                      <w:szCs w:val="21"/>
                    </w:rPr>
                  </w:pPr>
                  <w:r>
                    <w:rPr>
                      <w:rFonts w:hAnsi="宋体"/>
                      <w:szCs w:val="21"/>
                    </w:rPr>
                    <w:t>排气筒内径</w:t>
                  </w:r>
                </w:p>
              </w:tc>
              <w:tc>
                <w:tcPr>
                  <w:tcW w:w="388" w:type="pct"/>
                  <w:vAlign w:val="center"/>
                </w:tcPr>
                <w:p>
                  <w:pPr>
                    <w:snapToGrid w:val="0"/>
                    <w:spacing w:before="120" w:beforeLines="50" w:after="120" w:afterLines="50"/>
                    <w:jc w:val="center"/>
                    <w:rPr>
                      <w:szCs w:val="21"/>
                    </w:rPr>
                  </w:pPr>
                  <w:r>
                    <w:rPr>
                      <w:rFonts w:hAnsi="宋体"/>
                      <w:szCs w:val="21"/>
                    </w:rPr>
                    <w:t>温度</w:t>
                  </w:r>
                </w:p>
              </w:tc>
              <w:tc>
                <w:tcPr>
                  <w:tcW w:w="260" w:type="pct"/>
                  <w:vAlign w:val="center"/>
                </w:tcPr>
                <w:p>
                  <w:pPr>
                    <w:snapToGrid w:val="0"/>
                    <w:spacing w:before="120" w:beforeLines="50" w:after="120" w:afterLines="50"/>
                    <w:jc w:val="center"/>
                    <w:rPr>
                      <w:szCs w:val="21"/>
                    </w:rPr>
                  </w:pPr>
                  <w:r>
                    <w:rPr>
                      <w:rFonts w:hAnsi="宋体"/>
                      <w:szCs w:val="21"/>
                    </w:rPr>
                    <w:t>类型</w:t>
                  </w:r>
                </w:p>
              </w:tc>
              <w:tc>
                <w:tcPr>
                  <w:tcW w:w="706" w:type="pct"/>
                  <w:vAlign w:val="center"/>
                </w:tcPr>
                <w:p>
                  <w:pPr>
                    <w:snapToGrid w:val="0"/>
                    <w:spacing w:before="120" w:beforeLines="50" w:after="120" w:afterLines="50"/>
                    <w:jc w:val="center"/>
                    <w:rPr>
                      <w:szCs w:val="21"/>
                    </w:rPr>
                  </w:pPr>
                  <w:r>
                    <w:rPr>
                      <w:rFonts w:hAnsi="宋体"/>
                      <w:szCs w:val="21"/>
                    </w:rPr>
                    <w:t>地理坐标</w:t>
                  </w:r>
                </w:p>
              </w:tc>
              <w:tc>
                <w:tcPr>
                  <w:tcW w:w="260" w:type="pct"/>
                  <w:vAlign w:val="center"/>
                </w:tcPr>
                <w:p>
                  <w:pPr>
                    <w:snapToGrid w:val="0"/>
                    <w:spacing w:before="120" w:beforeLines="50" w:after="120" w:afterLines="50"/>
                    <w:jc w:val="center"/>
                    <w:rPr>
                      <w:szCs w:val="21"/>
                    </w:rPr>
                  </w:pPr>
                  <w:r>
                    <w:rPr>
                      <w:rFonts w:hAnsi="宋体"/>
                      <w:szCs w:val="21"/>
                    </w:rPr>
                    <w:t>监测点位</w:t>
                  </w:r>
                </w:p>
              </w:tc>
              <w:tc>
                <w:tcPr>
                  <w:tcW w:w="260" w:type="pct"/>
                  <w:vAlign w:val="center"/>
                </w:tcPr>
                <w:p>
                  <w:pPr>
                    <w:snapToGrid w:val="0"/>
                    <w:spacing w:before="120" w:beforeLines="50" w:after="120" w:afterLines="50"/>
                    <w:jc w:val="center"/>
                    <w:rPr>
                      <w:szCs w:val="21"/>
                    </w:rPr>
                  </w:pPr>
                  <w:r>
                    <w:rPr>
                      <w:rFonts w:hAnsi="宋体"/>
                      <w:szCs w:val="21"/>
                    </w:rPr>
                    <w:t>监测因子</w:t>
                  </w:r>
                </w:p>
              </w:tc>
              <w:tc>
                <w:tcPr>
                  <w:tcW w:w="260" w:type="pct"/>
                  <w:vAlign w:val="center"/>
                </w:tcPr>
                <w:p>
                  <w:pPr>
                    <w:snapToGrid w:val="0"/>
                    <w:spacing w:before="120" w:beforeLines="50" w:after="120" w:afterLines="50"/>
                    <w:jc w:val="center"/>
                    <w:rPr>
                      <w:szCs w:val="21"/>
                    </w:rPr>
                  </w:pPr>
                  <w:r>
                    <w:rPr>
                      <w:rFonts w:hAnsi="宋体"/>
                      <w:szCs w:val="21"/>
                    </w:rPr>
                    <w:t>监测频次</w:t>
                  </w:r>
                </w:p>
              </w:tc>
              <w:tc>
                <w:tcPr>
                  <w:tcW w:w="1250" w:type="pct"/>
                  <w:vMerge w:val="continue"/>
                  <w:vAlign w:val="center"/>
                </w:tcPr>
                <w:p>
                  <w:pPr>
                    <w:snapToGrid w:val="0"/>
                    <w:spacing w:before="120" w:beforeLines="50" w:after="120" w:afterLine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vAlign w:val="center"/>
                </w:tcPr>
                <w:p>
                  <w:pPr>
                    <w:snapToGrid w:val="0"/>
                    <w:jc w:val="center"/>
                    <w:rPr>
                      <w:szCs w:val="21"/>
                    </w:rPr>
                  </w:pPr>
                  <w:r>
                    <w:rPr>
                      <w:rFonts w:hint="eastAsia"/>
                      <w:szCs w:val="21"/>
                    </w:rPr>
                    <w:t>颗粒物</w:t>
                  </w:r>
                </w:p>
              </w:tc>
              <w:tc>
                <w:tcPr>
                  <w:tcW w:w="510" w:type="pct"/>
                  <w:vAlign w:val="center"/>
                </w:tcPr>
                <w:p>
                  <w:pPr>
                    <w:snapToGrid w:val="0"/>
                    <w:spacing w:before="120" w:beforeLines="50" w:after="120" w:afterLines="50"/>
                    <w:jc w:val="center"/>
                    <w:rPr>
                      <w:szCs w:val="21"/>
                    </w:rPr>
                  </w:pPr>
                  <w:r>
                    <w:rPr>
                      <w:rFonts w:hint="eastAsia"/>
                      <w:szCs w:val="21"/>
                    </w:rPr>
                    <w:t>DA001</w:t>
                  </w:r>
                </w:p>
              </w:tc>
              <w:tc>
                <w:tcPr>
                  <w:tcW w:w="360" w:type="pct"/>
                  <w:vAlign w:val="center"/>
                </w:tcPr>
                <w:p>
                  <w:pPr>
                    <w:snapToGrid w:val="0"/>
                    <w:spacing w:before="120" w:beforeLines="50" w:after="120" w:afterLines="50"/>
                    <w:jc w:val="center"/>
                    <w:rPr>
                      <w:szCs w:val="21"/>
                    </w:rPr>
                  </w:pPr>
                  <w:r>
                    <w:rPr>
                      <w:rFonts w:hint="eastAsia"/>
                      <w:szCs w:val="21"/>
                    </w:rPr>
                    <w:t>15m</w:t>
                  </w:r>
                </w:p>
              </w:tc>
              <w:tc>
                <w:tcPr>
                  <w:tcW w:w="392" w:type="pct"/>
                  <w:vAlign w:val="center"/>
                </w:tcPr>
                <w:p>
                  <w:pPr>
                    <w:snapToGrid w:val="0"/>
                    <w:spacing w:before="120" w:beforeLines="50" w:after="120" w:afterLines="50"/>
                    <w:jc w:val="center"/>
                    <w:rPr>
                      <w:szCs w:val="21"/>
                    </w:rPr>
                  </w:pPr>
                  <w:r>
                    <w:rPr>
                      <w:rFonts w:hint="eastAsia"/>
                      <w:szCs w:val="21"/>
                    </w:rPr>
                    <w:t>0.3m</w:t>
                  </w:r>
                </w:p>
              </w:tc>
              <w:tc>
                <w:tcPr>
                  <w:tcW w:w="388" w:type="pct"/>
                  <w:vAlign w:val="center"/>
                </w:tcPr>
                <w:p>
                  <w:pPr>
                    <w:snapToGrid w:val="0"/>
                    <w:spacing w:before="120" w:beforeLines="50" w:after="120" w:afterLines="50"/>
                    <w:jc w:val="center"/>
                    <w:rPr>
                      <w:szCs w:val="21"/>
                    </w:rPr>
                  </w:pPr>
                  <w:r>
                    <w:rPr>
                      <w:rFonts w:hint="eastAsia"/>
                      <w:szCs w:val="21"/>
                    </w:rPr>
                    <w:t>常温</w:t>
                  </w:r>
                </w:p>
              </w:tc>
              <w:tc>
                <w:tcPr>
                  <w:tcW w:w="260" w:type="pct"/>
                  <w:vAlign w:val="center"/>
                </w:tcPr>
                <w:p>
                  <w:pPr>
                    <w:snapToGrid w:val="0"/>
                    <w:spacing w:before="120" w:beforeLines="50" w:after="120" w:afterLines="50"/>
                    <w:jc w:val="center"/>
                    <w:rPr>
                      <w:szCs w:val="21"/>
                    </w:rPr>
                  </w:pPr>
                  <w:r>
                    <w:rPr>
                      <w:rFonts w:hAnsi="宋体"/>
                      <w:szCs w:val="21"/>
                    </w:rPr>
                    <w:t>立式排放口</w:t>
                  </w:r>
                </w:p>
              </w:tc>
              <w:tc>
                <w:tcPr>
                  <w:tcW w:w="706" w:type="pct"/>
                  <w:vAlign w:val="center"/>
                </w:tcPr>
                <w:p>
                  <w:pPr>
                    <w:snapToGrid w:val="0"/>
                    <w:spacing w:before="120" w:beforeLines="50" w:after="120" w:afterLines="50"/>
                    <w:jc w:val="center"/>
                    <w:rPr>
                      <w:szCs w:val="21"/>
                    </w:rPr>
                  </w:pPr>
                  <w:r>
                    <w:rPr>
                      <w:rFonts w:hint="eastAsia"/>
                      <w:szCs w:val="21"/>
                    </w:rPr>
                    <w:t>E114.007301</w:t>
                  </w:r>
                </w:p>
                <w:p>
                  <w:pPr>
                    <w:snapToGrid w:val="0"/>
                    <w:spacing w:before="120" w:beforeLines="50" w:after="120" w:afterLines="50"/>
                    <w:jc w:val="center"/>
                    <w:rPr>
                      <w:szCs w:val="21"/>
                    </w:rPr>
                  </w:pPr>
                  <w:r>
                    <w:rPr>
                      <w:rFonts w:hint="eastAsia"/>
                      <w:szCs w:val="21"/>
                    </w:rPr>
                    <w:t xml:space="preserve">N33.642842                                                                                                                                                            </w:t>
                  </w:r>
                </w:p>
              </w:tc>
              <w:tc>
                <w:tcPr>
                  <w:tcW w:w="260" w:type="pct"/>
                  <w:vAlign w:val="center"/>
                </w:tcPr>
                <w:p>
                  <w:pPr>
                    <w:snapToGrid w:val="0"/>
                    <w:spacing w:before="120" w:beforeLines="50" w:after="120" w:afterLines="50"/>
                    <w:jc w:val="center"/>
                    <w:rPr>
                      <w:szCs w:val="21"/>
                    </w:rPr>
                  </w:pPr>
                  <w:r>
                    <w:rPr>
                      <w:rFonts w:hint="eastAsia"/>
                      <w:szCs w:val="21"/>
                    </w:rPr>
                    <w:t>排气筒进出口</w:t>
                  </w:r>
                </w:p>
              </w:tc>
              <w:tc>
                <w:tcPr>
                  <w:tcW w:w="260" w:type="pct"/>
                  <w:vAlign w:val="center"/>
                </w:tcPr>
                <w:p>
                  <w:pPr>
                    <w:snapToGrid w:val="0"/>
                    <w:spacing w:before="120" w:beforeLines="50" w:after="120" w:afterLines="50"/>
                    <w:jc w:val="center"/>
                    <w:rPr>
                      <w:szCs w:val="21"/>
                    </w:rPr>
                  </w:pPr>
                  <w:r>
                    <w:rPr>
                      <w:rFonts w:hint="eastAsia"/>
                      <w:szCs w:val="21"/>
                    </w:rPr>
                    <w:t>颗粒物</w:t>
                  </w:r>
                </w:p>
              </w:tc>
              <w:tc>
                <w:tcPr>
                  <w:tcW w:w="260" w:type="pct"/>
                  <w:vAlign w:val="center"/>
                </w:tcPr>
                <w:p>
                  <w:pPr>
                    <w:snapToGrid w:val="0"/>
                    <w:spacing w:before="120" w:beforeLines="50" w:after="120" w:afterLines="50"/>
                    <w:jc w:val="center"/>
                    <w:rPr>
                      <w:szCs w:val="21"/>
                    </w:rPr>
                  </w:pPr>
                  <w:r>
                    <w:rPr>
                      <w:rFonts w:hint="eastAsia"/>
                      <w:szCs w:val="21"/>
                    </w:rPr>
                    <w:t>1次/年</w:t>
                  </w:r>
                </w:p>
              </w:tc>
              <w:tc>
                <w:tcPr>
                  <w:tcW w:w="1250" w:type="pct"/>
                  <w:vAlign w:val="center"/>
                </w:tcPr>
                <w:p>
                  <w:pPr>
                    <w:snapToGrid w:val="0"/>
                    <w:spacing w:before="120" w:beforeLines="50" w:after="120" w:afterLines="50"/>
                    <w:jc w:val="center"/>
                    <w:rPr>
                      <w:szCs w:val="21"/>
                    </w:rPr>
                  </w:pPr>
                  <w:r>
                    <w:rPr>
                      <w:rFonts w:hint="eastAsia"/>
                      <w:bCs/>
                      <w:szCs w:val="21"/>
                    </w:rPr>
                    <w:t>《大气污染物综合排放标准》</w:t>
                  </w:r>
                  <w:r>
                    <w:rPr>
                      <w:bCs/>
                      <w:szCs w:val="21"/>
                    </w:rPr>
                    <w:t>（GB 16297-1996）表2</w:t>
                  </w:r>
                  <w:r>
                    <w:rPr>
                      <w:rFonts w:hint="eastAsia"/>
                      <w:bCs/>
                      <w:szCs w:val="21"/>
                    </w:rPr>
                    <w:t>排放限值（</w:t>
                  </w:r>
                  <w:r>
                    <w:rPr>
                      <w:bCs/>
                      <w:szCs w:val="21"/>
                    </w:rPr>
                    <w:t>12</w:t>
                  </w:r>
                  <w:r>
                    <w:rPr>
                      <w:rFonts w:hint="eastAsia"/>
                      <w:bCs/>
                      <w:szCs w:val="21"/>
                    </w:rPr>
                    <w:t>0</w:t>
                  </w:r>
                  <w:r>
                    <w:rPr>
                      <w:bCs/>
                      <w:szCs w:val="21"/>
                    </w:rPr>
                    <w:t>mg/m</w:t>
                  </w:r>
                  <w:r>
                    <w:rPr>
                      <w:bCs/>
                      <w:szCs w:val="21"/>
                      <w:vertAlign w:val="superscript"/>
                    </w:rPr>
                    <w:t>3</w:t>
                  </w:r>
                  <w:r>
                    <w:rPr>
                      <w:rFonts w:hint="eastAsia"/>
                      <w:bCs/>
                      <w:szCs w:val="21"/>
                    </w:rPr>
                    <w:t>）排放速率（3.5Kg/h）</w:t>
                  </w:r>
                </w:p>
              </w:tc>
            </w:tr>
          </w:tbl>
          <w:p>
            <w:pPr>
              <w:numPr>
                <w:ilvl w:val="0"/>
                <w:numId w:val="5"/>
              </w:numPr>
              <w:spacing w:line="520" w:lineRule="exact"/>
              <w:ind w:firstLine="442" w:firstLineChars="200"/>
              <w:rPr>
                <w:rFonts w:ascii="宋体" w:hAnsi="宋体" w:cs="宋体"/>
                <w:b/>
                <w:bCs/>
                <w:spacing w:val="-10"/>
                <w:sz w:val="24"/>
              </w:rPr>
            </w:pPr>
            <w:r>
              <w:rPr>
                <w:rFonts w:hint="eastAsia" w:ascii="宋体" w:hAnsi="宋体" w:cs="宋体"/>
                <w:b/>
                <w:bCs/>
                <w:spacing w:val="-10"/>
                <w:sz w:val="24"/>
              </w:rPr>
              <w:t>排气筒废气达标分析</w:t>
            </w:r>
          </w:p>
          <w:p>
            <w:pPr>
              <w:spacing w:line="360" w:lineRule="auto"/>
              <w:jc w:val="left"/>
              <w:rPr>
                <w:color w:val="000000"/>
                <w:sz w:val="24"/>
              </w:rPr>
            </w:pPr>
            <w:r>
              <w:rPr>
                <w:rFonts w:hint="eastAsia" w:ascii="宋体" w:hAnsi="宋体" w:cs="宋体"/>
                <w:b/>
                <w:bCs/>
                <w:spacing w:val="-10"/>
                <w:sz w:val="24"/>
              </w:rPr>
              <w:t xml:space="preserve">     </w:t>
            </w:r>
            <w:r>
              <w:rPr>
                <w:rFonts w:hint="eastAsia"/>
                <w:color w:val="000000"/>
                <w:sz w:val="24"/>
              </w:rPr>
              <w:t>本项目公设1根排气筒，设在车间楼顶，高度约15米，排气筒污染物排放情况见表4-4。DA001排气筒排放的颗粒物有组织排放浓度满足《大气污染物综合排放标准》（GB 16297-1996）表2排放限值要求。</w:t>
            </w:r>
          </w:p>
          <w:p>
            <w:pPr>
              <w:spacing w:line="520" w:lineRule="exact"/>
              <w:jc w:val="center"/>
              <w:rPr>
                <w:color w:val="000000"/>
                <w:sz w:val="24"/>
              </w:rPr>
            </w:pPr>
            <w:r>
              <w:rPr>
                <w:rFonts w:eastAsia="黑体"/>
                <w:sz w:val="24"/>
              </w:rPr>
              <w:t>表</w:t>
            </w:r>
            <w:r>
              <w:rPr>
                <w:rFonts w:hint="eastAsia" w:eastAsia="黑体"/>
                <w:sz w:val="24"/>
              </w:rPr>
              <w:t>4-4</w:t>
            </w:r>
            <w:r>
              <w:rPr>
                <w:rFonts w:eastAsia="黑体"/>
                <w:sz w:val="24"/>
              </w:rPr>
              <w:t xml:space="preserve"> </w:t>
            </w:r>
            <w:r>
              <w:rPr>
                <w:rFonts w:hint="eastAsia" w:eastAsia="黑体"/>
                <w:sz w:val="24"/>
              </w:rPr>
              <w:t>排气筒排放污染物达标情况</w:t>
            </w:r>
          </w:p>
          <w:tbl>
            <w:tblPr>
              <w:tblStyle w:val="20"/>
              <w:tblpPr w:leftFromText="180" w:rightFromText="180" w:vertAnchor="text" w:horzAnchor="page" w:tblpX="103" w:tblpY="4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788"/>
              <w:gridCol w:w="1336"/>
              <w:gridCol w:w="1191"/>
              <w:gridCol w:w="706"/>
              <w:gridCol w:w="1336"/>
              <w:gridCol w:w="1213"/>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污染源</w:t>
                  </w:r>
                </w:p>
              </w:tc>
              <w:tc>
                <w:tcPr>
                  <w:tcW w:w="788"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污染物</w:t>
                  </w:r>
                </w:p>
              </w:tc>
              <w:tc>
                <w:tcPr>
                  <w:tcW w:w="1336"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排放浓度（mg/m³）</w:t>
                  </w:r>
                </w:p>
              </w:tc>
              <w:tc>
                <w:tcPr>
                  <w:tcW w:w="1191"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排放速率（kg/h）</w:t>
                  </w:r>
                </w:p>
              </w:tc>
              <w:tc>
                <w:tcPr>
                  <w:tcW w:w="706"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执行标准</w:t>
                  </w:r>
                </w:p>
              </w:tc>
              <w:tc>
                <w:tcPr>
                  <w:tcW w:w="1336"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浓度限值（mg/m³）</w:t>
                  </w:r>
                </w:p>
              </w:tc>
              <w:tc>
                <w:tcPr>
                  <w:tcW w:w="1213"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速率限值（kg/h）</w:t>
                  </w:r>
                </w:p>
              </w:tc>
              <w:tc>
                <w:tcPr>
                  <w:tcW w:w="685" w:type="dxa"/>
                  <w:vAlign w:val="center"/>
                </w:tcPr>
                <w:p>
                  <w:pPr>
                    <w:jc w:val="center"/>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DA001排气筒</w:t>
                  </w:r>
                </w:p>
              </w:tc>
              <w:tc>
                <w:tcPr>
                  <w:tcW w:w="788"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颗粒物</w:t>
                  </w:r>
                </w:p>
              </w:tc>
              <w:tc>
                <w:tcPr>
                  <w:tcW w:w="13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0.66</w:t>
                  </w:r>
                </w:p>
              </w:tc>
              <w:tc>
                <w:tcPr>
                  <w:tcW w:w="11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0.007</w:t>
                  </w:r>
                </w:p>
              </w:tc>
              <w:tc>
                <w:tcPr>
                  <w:tcW w:w="70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GB 16297-1996</w:t>
                  </w:r>
                </w:p>
              </w:tc>
              <w:tc>
                <w:tcPr>
                  <w:tcW w:w="1336"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120</w:t>
                  </w:r>
                </w:p>
              </w:tc>
              <w:tc>
                <w:tcPr>
                  <w:tcW w:w="1213"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68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达标</w:t>
                  </w:r>
                </w:p>
              </w:tc>
            </w:tr>
          </w:tbl>
          <w:p>
            <w:pPr>
              <w:spacing w:line="360" w:lineRule="auto"/>
              <w:ind w:firstLine="442" w:firstLineChars="200"/>
              <w:rPr>
                <w:rFonts w:ascii="宋体" w:hAnsi="宋体" w:cs="宋体"/>
                <w:b/>
                <w:bCs/>
                <w:spacing w:val="-10"/>
                <w:sz w:val="24"/>
              </w:rPr>
            </w:pPr>
            <w:r>
              <w:rPr>
                <w:rFonts w:hint="eastAsia" w:ascii="宋体" w:hAnsi="宋体" w:cs="宋体"/>
                <w:b/>
                <w:bCs/>
                <w:spacing w:val="-10"/>
                <w:sz w:val="24"/>
              </w:rPr>
              <w:t>（4）非正常工况下大气污染物排放情况</w:t>
            </w:r>
          </w:p>
          <w:p>
            <w:pPr>
              <w:spacing w:line="360" w:lineRule="auto"/>
              <w:ind w:firstLine="480"/>
              <w:rPr>
                <w:color w:val="000000"/>
                <w:sz w:val="24"/>
              </w:rPr>
            </w:pPr>
            <w:r>
              <w:rPr>
                <w:rFonts w:hint="eastAsia" w:asciiTheme="minorEastAsia" w:hAnsiTheme="minorEastAsia" w:eastAsiaTheme="minorEastAsia" w:cstheme="minorEastAsia"/>
                <w:sz w:val="24"/>
              </w:rPr>
              <w:t>根据《建设项目环境影响评价技术导则总纲》</w:t>
            </w:r>
            <w:r>
              <w:rPr>
                <w:color w:val="000000"/>
                <w:sz w:val="24"/>
              </w:rPr>
              <w:t>（HJ2.</w:t>
            </w:r>
            <w:r>
              <w:rPr>
                <w:rFonts w:hint="eastAsia"/>
                <w:color w:val="000000"/>
                <w:sz w:val="24"/>
              </w:rPr>
              <w:t>1</w:t>
            </w:r>
            <w:r>
              <w:rPr>
                <w:color w:val="000000"/>
                <w:sz w:val="24"/>
              </w:rPr>
              <w:t>-201</w:t>
            </w:r>
            <w:r>
              <w:rPr>
                <w:rFonts w:hint="eastAsia"/>
                <w:color w:val="000000"/>
                <w:sz w:val="24"/>
              </w:rPr>
              <w:t>6</w:t>
            </w:r>
            <w:r>
              <w:rPr>
                <w:color w:val="000000"/>
                <w:sz w:val="24"/>
              </w:rPr>
              <w:t>）</w:t>
            </w:r>
            <w:r>
              <w:rPr>
                <w:rFonts w:hint="eastAsia"/>
                <w:color w:val="000000"/>
                <w:sz w:val="24"/>
              </w:rPr>
              <w:t>相关要求，还需分析非正常工况下污染物的环境影响。非正常排放指非正常工况下的污染物排放。如设备检修、污染物排放控制措施达不到应有效率、工艺设备运转异常等情况下的排放。</w:t>
            </w:r>
          </w:p>
          <w:p>
            <w:pPr>
              <w:spacing w:line="360" w:lineRule="auto"/>
              <w:ind w:firstLine="480"/>
              <w:rPr>
                <w:rFonts w:hint="eastAsia"/>
                <w:color w:val="000000"/>
                <w:sz w:val="24"/>
              </w:rPr>
            </w:pPr>
            <w:r>
              <w:rPr>
                <w:rFonts w:hint="eastAsia"/>
                <w:color w:val="000000"/>
                <w:sz w:val="24"/>
              </w:rPr>
              <w:t>以旋风+布袋除尘器装置处理效率降低为设定非正常工况状态，处理效率为0%时，废气未经处理直接排入大气，非正常情况下废气排放时间按0.5h估算。非正常工况下大气污染物排放详见表4-5。</w:t>
            </w:r>
          </w:p>
          <w:p>
            <w:pPr>
              <w:pStyle w:val="24"/>
              <w:jc w:val="center"/>
            </w:pPr>
            <w:r>
              <w:rPr>
                <w:rFonts w:eastAsia="黑体"/>
                <w:sz w:val="24"/>
              </w:rPr>
              <w:t>表</w:t>
            </w:r>
            <w:r>
              <w:rPr>
                <w:rFonts w:hint="eastAsia" w:eastAsia="黑体"/>
                <w:sz w:val="24"/>
              </w:rPr>
              <w:t>4-5</w:t>
            </w:r>
            <w:r>
              <w:rPr>
                <w:rFonts w:eastAsia="黑体"/>
                <w:sz w:val="24"/>
              </w:rPr>
              <w:t xml:space="preserve"> </w:t>
            </w:r>
            <w:r>
              <w:rPr>
                <w:rFonts w:hint="eastAsia" w:eastAsia="黑体"/>
                <w:sz w:val="24"/>
              </w:rPr>
              <w:t>非正常工况排气筒排放情况</w:t>
            </w:r>
          </w:p>
          <w:tbl>
            <w:tblPr>
              <w:tblStyle w:val="20"/>
              <w:tblpPr w:leftFromText="180" w:rightFromText="180" w:vertAnchor="text" w:horzAnchor="page" w:tblpX="115" w:tblpY="507"/>
              <w:tblOverlap w:val="never"/>
              <w:tblW w:w="7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813"/>
              <w:gridCol w:w="1040"/>
              <w:gridCol w:w="585"/>
              <w:gridCol w:w="656"/>
              <w:gridCol w:w="756"/>
              <w:gridCol w:w="913"/>
              <w:gridCol w:w="770"/>
              <w:gridCol w:w="62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374"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序号</w:t>
                  </w:r>
                </w:p>
              </w:tc>
              <w:tc>
                <w:tcPr>
                  <w:tcW w:w="813"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非正常排放源</w:t>
                  </w:r>
                </w:p>
              </w:tc>
              <w:tc>
                <w:tcPr>
                  <w:tcW w:w="1040"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非正常排放源原因</w:t>
                  </w:r>
                </w:p>
              </w:tc>
              <w:tc>
                <w:tcPr>
                  <w:tcW w:w="585"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污染物</w:t>
                  </w:r>
                </w:p>
              </w:tc>
              <w:tc>
                <w:tcPr>
                  <w:tcW w:w="656"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排放量（t/a）</w:t>
                  </w:r>
                </w:p>
              </w:tc>
              <w:tc>
                <w:tcPr>
                  <w:tcW w:w="756"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排放浓度（mg/m³）</w:t>
                  </w:r>
                </w:p>
              </w:tc>
              <w:tc>
                <w:tcPr>
                  <w:tcW w:w="913"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非正常排放速率（Kg/h）</w:t>
                  </w:r>
                </w:p>
              </w:tc>
              <w:tc>
                <w:tcPr>
                  <w:tcW w:w="770"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单次持续时间h</w:t>
                  </w:r>
                </w:p>
              </w:tc>
              <w:tc>
                <w:tcPr>
                  <w:tcW w:w="627"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年发生频次</w:t>
                  </w:r>
                </w:p>
              </w:tc>
              <w:tc>
                <w:tcPr>
                  <w:tcW w:w="1241" w:type="dxa"/>
                  <w:vAlign w:val="center"/>
                </w:tcPr>
                <w:p>
                  <w:pPr>
                    <w:jc w:val="center"/>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sz w:val="22"/>
                      <w:szCs w:val="22"/>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374"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813"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破碎、磁选工序</w:t>
                  </w:r>
                </w:p>
              </w:tc>
              <w:tc>
                <w:tcPr>
                  <w:tcW w:w="1040"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处理设施或风机故障、检修状况</w:t>
                  </w:r>
                </w:p>
              </w:tc>
              <w:tc>
                <w:tcPr>
                  <w:tcW w:w="585"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颗粒物</w:t>
                  </w:r>
                </w:p>
              </w:tc>
              <w:tc>
                <w:tcPr>
                  <w:tcW w:w="656"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1.62</w:t>
                  </w:r>
                </w:p>
              </w:tc>
              <w:tc>
                <w:tcPr>
                  <w:tcW w:w="756"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75</w:t>
                  </w:r>
                </w:p>
              </w:tc>
              <w:tc>
                <w:tcPr>
                  <w:tcW w:w="913"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0.675</w:t>
                  </w:r>
                </w:p>
              </w:tc>
              <w:tc>
                <w:tcPr>
                  <w:tcW w:w="770"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0.5</w:t>
                  </w:r>
                </w:p>
              </w:tc>
              <w:tc>
                <w:tcPr>
                  <w:tcW w:w="627"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1241" w:type="dxa"/>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专人巡查，环保设备定期维护</w:t>
                  </w:r>
                </w:p>
              </w:tc>
            </w:tr>
          </w:tbl>
          <w:p>
            <w:pPr>
              <w:spacing w:line="520" w:lineRule="exact"/>
              <w:jc w:val="both"/>
              <w:rPr>
                <w:color w:val="000000"/>
                <w:sz w:val="24"/>
              </w:rPr>
            </w:pPr>
          </w:p>
          <w:p>
            <w:pPr>
              <w:spacing w:line="360" w:lineRule="auto"/>
              <w:ind w:firstLine="480"/>
              <w:rPr>
                <w:color w:val="000000"/>
                <w:sz w:val="24"/>
              </w:rPr>
            </w:pPr>
            <w:r>
              <w:rPr>
                <w:rFonts w:hint="eastAsia"/>
                <w:color w:val="000000"/>
                <w:sz w:val="24"/>
              </w:rPr>
              <w:t>为防止生产废气非正常工况排放，企业必须加强废气处理设施的管理，定期检修，确保废气处理设施正常运行，在废气处理设施设备停止运行或出现故障时，产生废气的各工序也必须相应停止生产。为杜绝废气非正常排放，本环评拟从下面几个方面建议建设单位做好防范工作：</w:t>
            </w:r>
          </w:p>
          <w:p>
            <w:pPr>
              <w:numPr>
                <w:ilvl w:val="0"/>
                <w:numId w:val="6"/>
              </w:numPr>
              <w:spacing w:line="360" w:lineRule="auto"/>
              <w:ind w:firstLine="480"/>
              <w:rPr>
                <w:color w:val="000000"/>
                <w:sz w:val="24"/>
              </w:rPr>
            </w:pPr>
            <w:r>
              <w:rPr>
                <w:rFonts w:hint="eastAsia"/>
                <w:color w:val="000000"/>
                <w:sz w:val="24"/>
              </w:rPr>
              <w:t>平时注意废气处理设施的维护，及时发现处理设备的隐患，确保废气处理系统正常运行；开、关、停、检修要有预案，有严密周全的计划，确保不发生非正常排放，或使影响最小。</w:t>
            </w:r>
          </w:p>
          <w:p>
            <w:pPr>
              <w:numPr>
                <w:ilvl w:val="0"/>
                <w:numId w:val="6"/>
              </w:numPr>
              <w:spacing w:line="360" w:lineRule="auto"/>
              <w:ind w:firstLine="480"/>
              <w:rPr>
                <w:color w:val="000000"/>
                <w:sz w:val="24"/>
              </w:rPr>
            </w:pPr>
            <w:r>
              <w:rPr>
                <w:rFonts w:hint="eastAsia"/>
                <w:color w:val="000000"/>
                <w:sz w:val="24"/>
              </w:rPr>
              <w:t>应设有备用电源和备用处理设备和零件，以备停电或设备出现故障时保障及时更换使废气全部做到达标排放。</w:t>
            </w:r>
          </w:p>
          <w:p>
            <w:pPr>
              <w:numPr>
                <w:ilvl w:val="0"/>
                <w:numId w:val="6"/>
              </w:numPr>
              <w:spacing w:line="360" w:lineRule="auto"/>
              <w:ind w:firstLine="480"/>
              <w:rPr>
                <w:color w:val="000000"/>
                <w:sz w:val="24"/>
              </w:rPr>
            </w:pPr>
            <w:r>
              <w:rPr>
                <w:rFonts w:hint="eastAsia"/>
                <w:color w:val="000000"/>
                <w:sz w:val="24"/>
              </w:rPr>
              <w:t>对员工进行岗位培训。做好值班记录，实行岗位职责制。</w:t>
            </w:r>
          </w:p>
          <w:p>
            <w:pPr>
              <w:spacing w:line="360" w:lineRule="auto"/>
              <w:ind w:firstLine="480"/>
              <w:rPr>
                <w:color w:val="000000"/>
                <w:sz w:val="24"/>
              </w:rPr>
            </w:pPr>
            <w:r>
              <w:rPr>
                <w:rFonts w:hint="eastAsia"/>
                <w:color w:val="000000"/>
                <w:sz w:val="24"/>
              </w:rPr>
              <w:t>本项目投产后，需加强环保管理，杜绝废气的不正常排放的发生。</w:t>
            </w:r>
          </w:p>
          <w:p>
            <w:pPr>
              <w:spacing w:line="360" w:lineRule="auto"/>
              <w:ind w:firstLine="480" w:firstLineChars="200"/>
              <w:rPr>
                <w:color w:val="000000"/>
                <w:sz w:val="24"/>
              </w:rPr>
            </w:pPr>
            <w:r>
              <w:rPr>
                <w:rFonts w:hint="eastAsia"/>
                <w:color w:val="000000"/>
                <w:sz w:val="24"/>
              </w:rPr>
              <w:t>（5）监测计划</w:t>
            </w:r>
          </w:p>
          <w:p>
            <w:pPr>
              <w:adjustRightInd w:val="0"/>
              <w:snapToGrid w:val="0"/>
              <w:ind w:firstLine="480" w:firstLineChars="200"/>
              <w:rPr>
                <w:rFonts w:hint="eastAsia"/>
                <w:sz w:val="24"/>
              </w:rPr>
            </w:pPr>
            <w:r>
              <w:rPr>
                <w:rFonts w:hint="eastAsia"/>
                <w:sz w:val="24"/>
              </w:rPr>
              <w:t xml:space="preserve"> 本项目废气监测项目及监测频次见表4-6</w:t>
            </w:r>
          </w:p>
          <w:p>
            <w:pPr>
              <w:adjustRightInd w:val="0"/>
              <w:snapToGrid w:val="0"/>
              <w:ind w:firstLine="480" w:firstLineChars="200"/>
              <w:jc w:val="center"/>
              <w:rPr>
                <w:rFonts w:hint="eastAsia"/>
                <w:sz w:val="24"/>
              </w:rPr>
            </w:pPr>
            <w:r>
              <w:rPr>
                <w:rFonts w:hint="eastAsia"/>
                <w:sz w:val="24"/>
              </w:rPr>
              <w:t>表4-6 废气污染源监测</w:t>
            </w:r>
          </w:p>
          <w:tbl>
            <w:tblPr>
              <w:tblStyle w:val="20"/>
              <w:tblW w:w="7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1589"/>
              <w:gridCol w:w="1589"/>
              <w:gridCol w:w="1589"/>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8" w:type="dxa"/>
                  <w:gridSpan w:val="2"/>
                  <w:vAlign w:val="center"/>
                </w:tcPr>
                <w:p>
                  <w:pPr>
                    <w:adjustRightInd w:val="0"/>
                    <w:snapToGrid w:val="0"/>
                    <w:ind w:firstLine="480" w:firstLineChars="200"/>
                    <w:rPr>
                      <w:rFonts w:hint="eastAsia"/>
                      <w:sz w:val="24"/>
                    </w:rPr>
                  </w:pPr>
                  <w:r>
                    <w:rPr>
                      <w:rFonts w:hint="eastAsia"/>
                      <w:sz w:val="24"/>
                    </w:rPr>
                    <w:t>监测点位置</w:t>
                  </w:r>
                </w:p>
              </w:tc>
              <w:tc>
                <w:tcPr>
                  <w:tcW w:w="1589" w:type="dxa"/>
                  <w:vAlign w:val="center"/>
                </w:tcPr>
                <w:p>
                  <w:pPr>
                    <w:adjustRightInd w:val="0"/>
                    <w:snapToGrid w:val="0"/>
                    <w:ind w:firstLine="480" w:firstLineChars="200"/>
                    <w:rPr>
                      <w:rFonts w:hint="eastAsia"/>
                      <w:sz w:val="24"/>
                    </w:rPr>
                  </w:pPr>
                  <w:r>
                    <w:rPr>
                      <w:rFonts w:hint="eastAsia"/>
                      <w:sz w:val="24"/>
                    </w:rPr>
                    <w:t>监测项目</w:t>
                  </w:r>
                </w:p>
              </w:tc>
              <w:tc>
                <w:tcPr>
                  <w:tcW w:w="1589" w:type="dxa"/>
                  <w:vAlign w:val="center"/>
                </w:tcPr>
                <w:p>
                  <w:pPr>
                    <w:adjustRightInd w:val="0"/>
                    <w:snapToGrid w:val="0"/>
                    <w:ind w:firstLine="480" w:firstLineChars="200"/>
                    <w:rPr>
                      <w:rFonts w:hint="eastAsia"/>
                      <w:sz w:val="24"/>
                    </w:rPr>
                  </w:pPr>
                  <w:r>
                    <w:rPr>
                      <w:rFonts w:hint="eastAsia"/>
                      <w:sz w:val="24"/>
                    </w:rPr>
                    <w:t>监测频次</w:t>
                  </w:r>
                </w:p>
              </w:tc>
              <w:tc>
                <w:tcPr>
                  <w:tcW w:w="1590" w:type="dxa"/>
                  <w:vAlign w:val="center"/>
                </w:tcPr>
                <w:p>
                  <w:pPr>
                    <w:adjustRightInd w:val="0"/>
                    <w:snapToGrid w:val="0"/>
                    <w:ind w:firstLine="480" w:firstLineChars="200"/>
                    <w:rPr>
                      <w:rFonts w:hint="eastAsia"/>
                      <w:sz w:val="24"/>
                    </w:rPr>
                  </w:pPr>
                  <w:r>
                    <w:rPr>
                      <w:rFonts w:hint="eastAsia"/>
                      <w:sz w:val="24"/>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Align w:val="center"/>
                </w:tcPr>
                <w:p>
                  <w:pPr>
                    <w:adjustRightInd w:val="0"/>
                    <w:snapToGrid w:val="0"/>
                    <w:ind w:firstLine="480" w:firstLineChars="200"/>
                    <w:rPr>
                      <w:rFonts w:hint="eastAsia"/>
                      <w:sz w:val="24"/>
                    </w:rPr>
                  </w:pPr>
                  <w:r>
                    <w:rPr>
                      <w:rFonts w:hint="eastAsia"/>
                      <w:sz w:val="24"/>
                    </w:rPr>
                    <w:t>有组织</w:t>
                  </w:r>
                </w:p>
              </w:tc>
              <w:tc>
                <w:tcPr>
                  <w:tcW w:w="1589" w:type="dxa"/>
                  <w:vAlign w:val="center"/>
                </w:tcPr>
                <w:p>
                  <w:pPr>
                    <w:adjustRightInd w:val="0"/>
                    <w:snapToGrid w:val="0"/>
                    <w:ind w:firstLine="480" w:firstLineChars="200"/>
                    <w:rPr>
                      <w:rFonts w:hint="eastAsia"/>
                      <w:sz w:val="24"/>
                    </w:rPr>
                  </w:pPr>
                  <w:r>
                    <w:rPr>
                      <w:rFonts w:hint="eastAsia"/>
                      <w:sz w:val="24"/>
                    </w:rPr>
                    <w:t>DA001排气筒</w:t>
                  </w:r>
                </w:p>
              </w:tc>
              <w:tc>
                <w:tcPr>
                  <w:tcW w:w="1589" w:type="dxa"/>
                  <w:vAlign w:val="center"/>
                </w:tcPr>
                <w:p>
                  <w:pPr>
                    <w:adjustRightInd w:val="0"/>
                    <w:snapToGrid w:val="0"/>
                    <w:ind w:firstLine="480" w:firstLineChars="200"/>
                    <w:rPr>
                      <w:rFonts w:hint="eastAsia"/>
                      <w:sz w:val="24"/>
                    </w:rPr>
                  </w:pPr>
                  <w:r>
                    <w:rPr>
                      <w:rFonts w:hint="eastAsia"/>
                      <w:sz w:val="24"/>
                    </w:rPr>
                    <w:t>颗粒物</w:t>
                  </w:r>
                </w:p>
              </w:tc>
              <w:tc>
                <w:tcPr>
                  <w:tcW w:w="1589" w:type="dxa"/>
                  <w:vMerge w:val="restart"/>
                  <w:vAlign w:val="center"/>
                </w:tcPr>
                <w:p>
                  <w:pPr>
                    <w:adjustRightInd w:val="0"/>
                    <w:snapToGrid w:val="0"/>
                    <w:ind w:firstLine="480" w:firstLineChars="200"/>
                    <w:rPr>
                      <w:rFonts w:hint="eastAsia"/>
                      <w:sz w:val="24"/>
                    </w:rPr>
                  </w:pPr>
                  <w:r>
                    <w:rPr>
                      <w:rFonts w:hint="eastAsia"/>
                      <w:sz w:val="24"/>
                    </w:rPr>
                    <w:t>1次/年</w:t>
                  </w:r>
                </w:p>
              </w:tc>
              <w:tc>
                <w:tcPr>
                  <w:tcW w:w="1590" w:type="dxa"/>
                  <w:vMerge w:val="restart"/>
                  <w:vAlign w:val="center"/>
                </w:tcPr>
                <w:p>
                  <w:pPr>
                    <w:adjustRightInd w:val="0"/>
                    <w:snapToGrid w:val="0"/>
                    <w:ind w:firstLine="480" w:firstLineChars="200"/>
                    <w:rPr>
                      <w:rFonts w:hint="eastAsia"/>
                      <w:sz w:val="24"/>
                    </w:rPr>
                  </w:pPr>
                  <w:r>
                    <w:rPr>
                      <w:rFonts w:hint="eastAsia"/>
                      <w:sz w:val="24"/>
                    </w:rPr>
                    <w:t>《大气污染物综合排放标准》（GB 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vAlign w:val="center"/>
                </w:tcPr>
                <w:p>
                  <w:pPr>
                    <w:adjustRightInd w:val="0"/>
                    <w:snapToGrid w:val="0"/>
                    <w:ind w:firstLine="480" w:firstLineChars="200"/>
                    <w:rPr>
                      <w:rFonts w:hint="eastAsia"/>
                      <w:sz w:val="24"/>
                    </w:rPr>
                  </w:pPr>
                  <w:r>
                    <w:rPr>
                      <w:rFonts w:hint="eastAsia"/>
                      <w:sz w:val="24"/>
                    </w:rPr>
                    <w:t>无组织</w:t>
                  </w:r>
                </w:p>
              </w:tc>
              <w:tc>
                <w:tcPr>
                  <w:tcW w:w="1589" w:type="dxa"/>
                  <w:vAlign w:val="center"/>
                </w:tcPr>
                <w:p>
                  <w:pPr>
                    <w:adjustRightInd w:val="0"/>
                    <w:snapToGrid w:val="0"/>
                    <w:ind w:firstLine="480" w:firstLineChars="200"/>
                    <w:rPr>
                      <w:rFonts w:hint="eastAsia"/>
                      <w:sz w:val="24"/>
                    </w:rPr>
                  </w:pPr>
                  <w:r>
                    <w:rPr>
                      <w:rFonts w:hint="eastAsia"/>
                      <w:sz w:val="24"/>
                    </w:rPr>
                    <w:t>厂区内浓度最高点</w:t>
                  </w:r>
                </w:p>
              </w:tc>
              <w:tc>
                <w:tcPr>
                  <w:tcW w:w="1589" w:type="dxa"/>
                  <w:vAlign w:val="center"/>
                </w:tcPr>
                <w:p>
                  <w:pPr>
                    <w:adjustRightInd w:val="0"/>
                    <w:snapToGrid w:val="0"/>
                    <w:ind w:firstLine="480" w:firstLineChars="200"/>
                    <w:rPr>
                      <w:rFonts w:hint="eastAsia"/>
                      <w:sz w:val="24"/>
                    </w:rPr>
                  </w:pPr>
                  <w:r>
                    <w:rPr>
                      <w:rFonts w:hint="eastAsia"/>
                      <w:sz w:val="24"/>
                    </w:rPr>
                    <w:t>颗粒物</w:t>
                  </w:r>
                </w:p>
              </w:tc>
              <w:tc>
                <w:tcPr>
                  <w:tcW w:w="1589" w:type="dxa"/>
                  <w:vMerge w:val="continue"/>
                  <w:vAlign w:val="center"/>
                </w:tcPr>
                <w:p>
                  <w:pPr>
                    <w:adjustRightInd w:val="0"/>
                    <w:snapToGrid w:val="0"/>
                    <w:ind w:firstLine="480" w:firstLineChars="200"/>
                    <w:rPr>
                      <w:rFonts w:hint="eastAsia"/>
                      <w:sz w:val="24"/>
                    </w:rPr>
                  </w:pPr>
                </w:p>
              </w:tc>
              <w:tc>
                <w:tcPr>
                  <w:tcW w:w="1590" w:type="dxa"/>
                  <w:vMerge w:val="continue"/>
                  <w:vAlign w:val="center"/>
                </w:tcPr>
                <w:p>
                  <w:pPr>
                    <w:adjustRightInd w:val="0"/>
                    <w:snapToGrid w:val="0"/>
                    <w:ind w:firstLine="480" w:firstLineChars="200"/>
                    <w:rPr>
                      <w:rFonts w:hint="eastAsia"/>
                      <w:sz w:val="24"/>
                    </w:rPr>
                  </w:pPr>
                </w:p>
              </w:tc>
            </w:tr>
          </w:tbl>
          <w:p>
            <w:pPr>
              <w:adjustRightInd w:val="0"/>
              <w:snapToGrid w:val="0"/>
              <w:ind w:firstLine="480" w:firstLineChars="200"/>
              <w:rPr>
                <w:rFonts w:hint="eastAsia"/>
                <w:sz w:val="24"/>
              </w:rPr>
            </w:pPr>
          </w:p>
          <w:p>
            <w:pPr>
              <w:numPr>
                <w:ilvl w:val="0"/>
                <w:numId w:val="4"/>
              </w:numPr>
              <w:adjustRightInd w:val="0"/>
              <w:snapToGrid w:val="0"/>
              <w:spacing w:line="520" w:lineRule="exact"/>
              <w:ind w:hanging="357"/>
              <w:rPr>
                <w:rFonts w:hAnsi="宋体"/>
                <w:b/>
                <w:bCs/>
                <w:sz w:val="24"/>
                <w:szCs w:val="22"/>
              </w:rPr>
            </w:pPr>
            <w:r>
              <w:rPr>
                <w:rFonts w:hint="eastAsia" w:hAnsi="宋体"/>
                <w:b/>
                <w:bCs/>
                <w:sz w:val="24"/>
                <w:szCs w:val="22"/>
              </w:rPr>
              <w:t>废水</w:t>
            </w:r>
          </w:p>
          <w:p>
            <w:pPr>
              <w:tabs>
                <w:tab w:val="left" w:pos="6843"/>
              </w:tabs>
              <w:adjustRightInd w:val="0"/>
              <w:snapToGrid w:val="0"/>
              <w:spacing w:line="360" w:lineRule="auto"/>
            </w:pPr>
            <w:r>
              <w:rPr>
                <w:rFonts w:hint="eastAsia"/>
                <w:sz w:val="24"/>
              </w:rPr>
              <w:t>2</w:t>
            </w:r>
            <w:r>
              <w:rPr>
                <w:sz w:val="24"/>
              </w:rPr>
              <w:t>.1</w:t>
            </w:r>
            <w:r>
              <w:rPr>
                <w:rFonts w:hint="eastAsia"/>
                <w:b/>
                <w:sz w:val="24"/>
              </w:rPr>
              <w:t>废水源强</w:t>
            </w:r>
          </w:p>
          <w:p>
            <w:pPr>
              <w:spacing w:line="360" w:lineRule="auto"/>
              <w:ind w:firstLine="480" w:firstLineChars="200"/>
              <w:jc w:val="left"/>
              <w:rPr>
                <w:color w:val="000000"/>
                <w:sz w:val="24"/>
              </w:rPr>
            </w:pPr>
            <w:r>
              <w:rPr>
                <w:bCs/>
                <w:sz w:val="24"/>
              </w:rPr>
              <w:t>本</w:t>
            </w:r>
            <w:r>
              <w:rPr>
                <w:color w:val="000000"/>
                <w:sz w:val="24"/>
              </w:rPr>
              <w:t>项目营运期设备无需清洗，生产过程</w:t>
            </w:r>
            <w:r>
              <w:rPr>
                <w:rFonts w:hint="eastAsia"/>
                <w:color w:val="000000"/>
                <w:sz w:val="24"/>
              </w:rPr>
              <w:t>不需用水</w:t>
            </w:r>
            <w:r>
              <w:rPr>
                <w:color w:val="000000"/>
                <w:sz w:val="24"/>
              </w:rPr>
              <w:t>，无生产废水产生。项目废水主要为职工办公生活废水。</w:t>
            </w:r>
          </w:p>
          <w:p>
            <w:pPr>
              <w:keepNext w:val="0"/>
              <w:keepLines w:val="0"/>
              <w:pageBreakBefore w:val="0"/>
              <w:widowControl w:val="0"/>
              <w:kinsoku/>
              <w:wordWrap/>
              <w:overflowPunct/>
              <w:topLinePunct w:val="0"/>
              <w:autoSpaceDE/>
              <w:autoSpaceDN/>
              <w:bidi w:val="0"/>
              <w:adjustRightInd w:val="0"/>
              <w:snapToGrid w:val="0"/>
              <w:spacing w:line="520" w:lineRule="atLeast"/>
              <w:ind w:firstLine="480" w:firstLineChars="200"/>
              <w:textAlignment w:val="baseline"/>
              <w:rPr>
                <w:rFonts w:hint="default" w:ascii="Times New Roman" w:hAnsi="Times New Roman" w:eastAsia="宋体" w:cs="Times New Roman"/>
                <w:color w:val="000000"/>
                <w:sz w:val="24"/>
                <w:lang w:val="en-US" w:eastAsia="zh-CN"/>
              </w:rPr>
            </w:pPr>
            <w:r>
              <w:rPr>
                <w:color w:val="000000"/>
                <w:sz w:val="24"/>
              </w:rPr>
              <w:t>职工办公生活用水：</w:t>
            </w:r>
            <w:r>
              <w:rPr>
                <w:rFonts w:hint="eastAsia"/>
                <w:color w:val="000000"/>
                <w:sz w:val="24"/>
              </w:rPr>
              <w:t>办公生活用水由市政供水管网提供，</w:t>
            </w:r>
            <w:r>
              <w:rPr>
                <w:color w:val="000000"/>
                <w:sz w:val="24"/>
              </w:rPr>
              <w:t>项目劳动定员</w:t>
            </w:r>
            <w:r>
              <w:rPr>
                <w:rFonts w:hint="eastAsia"/>
                <w:color w:val="000000"/>
                <w:sz w:val="24"/>
              </w:rPr>
              <w:t>12</w:t>
            </w:r>
            <w:r>
              <w:rPr>
                <w:color w:val="000000"/>
                <w:sz w:val="24"/>
              </w:rPr>
              <w:t>人</w:t>
            </w:r>
            <w:r>
              <w:rPr>
                <w:rFonts w:hint="eastAsia"/>
                <w:color w:val="000000"/>
                <w:sz w:val="24"/>
                <w:lang w:eastAsia="zh-CN"/>
              </w:rPr>
              <w:t>，</w:t>
            </w:r>
            <w:r>
              <w:rPr>
                <w:rFonts w:hint="eastAsia"/>
                <w:color w:val="000000"/>
                <w:sz w:val="24"/>
                <w:lang w:val="en-US" w:eastAsia="zh-CN"/>
              </w:rPr>
              <w:t>年工作300天</w:t>
            </w:r>
            <w:r>
              <w:rPr>
                <w:color w:val="000000"/>
                <w:sz w:val="24"/>
              </w:rPr>
              <w:t>，均不在厂内食宿。</w:t>
            </w:r>
            <w:r>
              <w:rPr>
                <w:rFonts w:hint="eastAsia" w:ascii="Times New Roman" w:hAnsi="Times New Roman" w:cs="Times New Roman"/>
                <w:color w:val="auto"/>
                <w:sz w:val="24"/>
                <w:szCs w:val="24"/>
                <w:highlight w:val="none"/>
                <w:lang w:val="en-US" w:eastAsia="zh-CN"/>
              </w:rPr>
              <w:t>参考河南省地方标准《工业与城镇生活用水定额》（DB41/T 385—2020），</w:t>
            </w:r>
            <w:r>
              <w:rPr>
                <w:color w:val="000000"/>
                <w:sz w:val="24"/>
              </w:rPr>
              <w:t>每人每天生活用水量按照</w:t>
            </w:r>
            <w:r>
              <w:rPr>
                <w:rFonts w:hint="eastAsia"/>
                <w:color w:val="000000"/>
                <w:sz w:val="24"/>
                <w:lang w:val="en-US" w:eastAsia="zh-CN"/>
              </w:rPr>
              <w:t>100</w:t>
            </w:r>
            <w:r>
              <w:rPr>
                <w:color w:val="000000"/>
                <w:sz w:val="24"/>
              </w:rPr>
              <w:t>L计</w:t>
            </w:r>
            <w:r>
              <w:rPr>
                <w:rFonts w:hint="eastAsia"/>
                <w:color w:val="000000"/>
                <w:sz w:val="24"/>
                <w:lang w:val="en-US" w:eastAsia="zh-CN"/>
              </w:rPr>
              <w:t>算</w:t>
            </w:r>
            <w:r>
              <w:rPr>
                <w:color w:val="000000"/>
                <w:sz w:val="24"/>
              </w:rPr>
              <w:t>，则职工办公生活用水量为</w:t>
            </w:r>
            <w:r>
              <w:rPr>
                <w:rFonts w:hint="eastAsia"/>
                <w:color w:val="000000"/>
                <w:sz w:val="24"/>
                <w:lang w:val="en-US" w:eastAsia="zh-CN"/>
              </w:rPr>
              <w:t>1.2</w:t>
            </w:r>
            <w:r>
              <w:rPr>
                <w:color w:val="000000"/>
                <w:sz w:val="24"/>
              </w:rPr>
              <w:t>m</w:t>
            </w:r>
            <w:r>
              <w:rPr>
                <w:color w:val="000000"/>
                <w:sz w:val="24"/>
                <w:vertAlign w:val="superscript"/>
              </w:rPr>
              <w:t>3</w:t>
            </w:r>
            <w:r>
              <w:rPr>
                <w:color w:val="000000"/>
                <w:sz w:val="24"/>
              </w:rPr>
              <w:t>/d、</w:t>
            </w:r>
            <w:r>
              <w:rPr>
                <w:rFonts w:hint="eastAsia"/>
                <w:color w:val="000000"/>
                <w:sz w:val="24"/>
                <w:lang w:val="en-US" w:eastAsia="zh-CN"/>
              </w:rPr>
              <w:t>360</w:t>
            </w:r>
            <w:r>
              <w:rPr>
                <w:color w:val="000000"/>
                <w:sz w:val="24"/>
              </w:rPr>
              <w:t>m</w:t>
            </w:r>
            <w:r>
              <w:rPr>
                <w:color w:val="000000"/>
                <w:sz w:val="24"/>
                <w:vertAlign w:val="superscript"/>
              </w:rPr>
              <w:t>3</w:t>
            </w:r>
            <w:r>
              <w:rPr>
                <w:color w:val="000000"/>
                <w:sz w:val="24"/>
              </w:rPr>
              <w:t>/a。生活污水产生系数取0.8，</w:t>
            </w:r>
            <w:r>
              <w:rPr>
                <w:rFonts w:hint="eastAsia"/>
                <w:color w:val="000000"/>
                <w:sz w:val="24"/>
              </w:rPr>
              <w:t>则</w:t>
            </w:r>
            <w:r>
              <w:rPr>
                <w:color w:val="000000"/>
                <w:sz w:val="24"/>
              </w:rPr>
              <w:t>生活污水</w:t>
            </w:r>
            <w:r>
              <w:rPr>
                <w:rFonts w:hint="eastAsia"/>
                <w:color w:val="000000"/>
                <w:sz w:val="24"/>
              </w:rPr>
              <w:t>产生量为0.</w:t>
            </w:r>
            <w:r>
              <w:rPr>
                <w:rFonts w:hint="eastAsia"/>
                <w:color w:val="000000"/>
                <w:sz w:val="24"/>
                <w:lang w:val="en-US" w:eastAsia="zh-CN"/>
              </w:rPr>
              <w:t>96</w:t>
            </w:r>
            <w:r>
              <w:rPr>
                <w:rFonts w:hint="eastAsia"/>
                <w:color w:val="000000"/>
                <w:sz w:val="24"/>
              </w:rPr>
              <w:t>m</w:t>
            </w:r>
            <w:r>
              <w:rPr>
                <w:rFonts w:hint="eastAsia"/>
                <w:color w:val="000000"/>
                <w:sz w:val="24"/>
                <w:vertAlign w:val="superscript"/>
              </w:rPr>
              <w:t>3</w:t>
            </w:r>
            <w:r>
              <w:rPr>
                <w:color w:val="000000"/>
                <w:sz w:val="24"/>
              </w:rPr>
              <w:t>/d</w:t>
            </w:r>
            <w:r>
              <w:rPr>
                <w:rFonts w:hint="eastAsia"/>
                <w:color w:val="000000"/>
                <w:sz w:val="24"/>
              </w:rPr>
              <w:t>（</w:t>
            </w:r>
            <w:r>
              <w:rPr>
                <w:rFonts w:hint="eastAsia"/>
                <w:color w:val="000000"/>
                <w:sz w:val="24"/>
                <w:lang w:val="en-US" w:eastAsia="zh-CN"/>
              </w:rPr>
              <w:t>288</w:t>
            </w:r>
            <w:r>
              <w:rPr>
                <w:rFonts w:hint="eastAsia"/>
                <w:color w:val="000000"/>
                <w:sz w:val="24"/>
              </w:rPr>
              <w:t>m</w:t>
            </w:r>
            <w:r>
              <w:rPr>
                <w:rFonts w:hint="eastAsia"/>
                <w:color w:val="000000"/>
                <w:sz w:val="24"/>
                <w:vertAlign w:val="superscript"/>
              </w:rPr>
              <w:t>3</w:t>
            </w:r>
            <w:r>
              <w:rPr>
                <w:rFonts w:hint="eastAsia"/>
                <w:color w:val="000000"/>
                <w:sz w:val="24"/>
              </w:rPr>
              <w:t>/a）</w:t>
            </w:r>
            <w:r>
              <w:rPr>
                <w:color w:val="000000"/>
                <w:sz w:val="24"/>
              </w:rPr>
              <w:t>。</w:t>
            </w:r>
            <w:r>
              <w:rPr>
                <w:rFonts w:hint="default" w:ascii="Times New Roman" w:hAnsi="Times New Roman" w:cs="Times New Roman"/>
                <w:color w:val="auto"/>
                <w:sz w:val="24"/>
                <w:szCs w:val="24"/>
              </w:rPr>
              <w:t>根据类比，</w:t>
            </w:r>
            <w:r>
              <w:rPr>
                <w:rFonts w:hint="eastAsia" w:ascii="Times New Roman" w:hAnsi="Times New Roman" w:eastAsia="宋体" w:cs="Times New Roman"/>
                <w:color w:val="000000"/>
                <w:sz w:val="24"/>
                <w:lang w:val="en-US" w:eastAsia="zh-CN"/>
              </w:rPr>
              <w:t>生活污水污染物浓度为COD300mg/L、氨氮30mg/L。</w:t>
            </w:r>
          </w:p>
          <w:p>
            <w:pPr>
              <w:tabs>
                <w:tab w:val="left" w:pos="6843"/>
              </w:tabs>
              <w:adjustRightInd w:val="0"/>
              <w:snapToGrid w:val="0"/>
              <w:spacing w:line="360" w:lineRule="auto"/>
              <w:rPr>
                <w:b/>
                <w:bCs/>
                <w:sz w:val="24"/>
              </w:rPr>
            </w:pPr>
            <w:r>
              <w:rPr>
                <w:rFonts w:hint="eastAsia"/>
                <w:b/>
                <w:bCs/>
                <w:sz w:val="24"/>
              </w:rPr>
              <w:t>2.2废水处理措施</w:t>
            </w:r>
          </w:p>
          <w:p>
            <w:pPr>
              <w:tabs>
                <w:tab w:val="left" w:pos="6843"/>
              </w:tabs>
              <w:adjustRightInd w:val="0"/>
              <w:snapToGrid w:val="0"/>
              <w:spacing w:line="360" w:lineRule="auto"/>
              <w:ind w:firstLine="480" w:firstLineChars="200"/>
              <w:rPr>
                <w:bCs/>
                <w:sz w:val="24"/>
              </w:rPr>
            </w:pPr>
            <w:r>
              <w:rPr>
                <w:rFonts w:hint="eastAsia"/>
                <w:sz w:val="24"/>
              </w:rPr>
              <w:t>生活污水经厂区化粪池处理后，污染物浓度为COD150mg/L、氨氮25mg/L，通过市政管网排入漯河市淞江污水处理厂进行处理达标后排放。</w:t>
            </w:r>
            <w:r>
              <w:rPr>
                <w:sz w:val="24"/>
              </w:rPr>
              <w:t>淞江产业集聚</w:t>
            </w:r>
            <w:r>
              <w:rPr>
                <w:color w:val="000000"/>
                <w:sz w:val="24"/>
              </w:rPr>
              <w:t>区污水处理厂位于107国道与孟平铁路交叉口西南角，收水范围包括淞江产业集聚区、孟庙镇和龙城镇部分区域。本项目位于漯河市郾城区孟庙镇，</w:t>
            </w:r>
            <w:r>
              <w:rPr>
                <w:rFonts w:hint="eastAsia" w:ascii="宋体" w:hAnsi="宋体" w:cs="宋体"/>
                <w:bCs/>
                <w:sz w:val="24"/>
              </w:rPr>
              <w:t>从收水范围上分析，在漯河市淞江污水处理厂收水范围内，</w:t>
            </w:r>
            <w:r>
              <w:rPr>
                <w:rFonts w:ascii="宋体" w:hAnsi="宋体" w:cs="宋体"/>
                <w:bCs/>
                <w:sz w:val="24"/>
              </w:rPr>
              <w:t>目前</w:t>
            </w:r>
            <w:r>
              <w:rPr>
                <w:rFonts w:hint="eastAsia" w:ascii="宋体" w:hAnsi="宋体" w:cs="宋体"/>
                <w:bCs/>
                <w:sz w:val="24"/>
              </w:rPr>
              <w:t>市政污水管网已铺设至项目厂址区域，废水处理达标后可通过市政污水管网排入漯河市淞江污水处理厂集中处理</w:t>
            </w:r>
            <w:r>
              <w:rPr>
                <w:bCs/>
                <w:sz w:val="24"/>
              </w:rPr>
              <w:t>；从水量上分析，总设计处理规模为3万m</w:t>
            </w:r>
            <w:r>
              <w:rPr>
                <w:bCs/>
                <w:sz w:val="24"/>
                <w:vertAlign w:val="superscript"/>
              </w:rPr>
              <w:t>3</w:t>
            </w:r>
            <w:r>
              <w:rPr>
                <w:bCs/>
                <w:sz w:val="24"/>
              </w:rPr>
              <w:t>/d，</w:t>
            </w:r>
            <w:r>
              <w:rPr>
                <w:rFonts w:hint="eastAsia"/>
                <w:bCs/>
                <w:sz w:val="24"/>
              </w:rPr>
              <w:t>现状处理污水量</w:t>
            </w:r>
            <w:r>
              <w:rPr>
                <w:bCs/>
                <w:sz w:val="24"/>
              </w:rPr>
              <w:t>2.56万m</w:t>
            </w:r>
            <w:r>
              <w:rPr>
                <w:bCs/>
                <w:sz w:val="24"/>
                <w:vertAlign w:val="superscript"/>
              </w:rPr>
              <w:t>3</w:t>
            </w:r>
            <w:r>
              <w:rPr>
                <w:bCs/>
                <w:sz w:val="24"/>
              </w:rPr>
              <w:t>/d，剩余污水处理量为0.44万m</w:t>
            </w:r>
            <w:r>
              <w:rPr>
                <w:bCs/>
                <w:sz w:val="24"/>
                <w:vertAlign w:val="superscript"/>
              </w:rPr>
              <w:t>3</w:t>
            </w:r>
            <w:r>
              <w:rPr>
                <w:bCs/>
                <w:sz w:val="24"/>
              </w:rPr>
              <w:t>/d，目前尚有余量可接纳项目废水</w:t>
            </w:r>
            <w:r>
              <w:rPr>
                <w:rFonts w:hint="eastAsia" w:ascii="宋体" w:hAnsi="宋体" w:cs="宋体"/>
                <w:bCs/>
                <w:sz w:val="24"/>
              </w:rPr>
              <w:t>；</w:t>
            </w:r>
            <w:r>
              <w:rPr>
                <w:bCs/>
                <w:sz w:val="24"/>
              </w:rPr>
              <w:t>本</w:t>
            </w:r>
            <w:r>
              <w:rPr>
                <w:rFonts w:hint="eastAsia"/>
                <w:bCs/>
                <w:sz w:val="24"/>
              </w:rPr>
              <w:t>项目</w:t>
            </w:r>
            <w:r>
              <w:rPr>
                <w:bCs/>
                <w:sz w:val="24"/>
              </w:rPr>
              <w:t>废水排放量为</w:t>
            </w:r>
            <w:r>
              <w:rPr>
                <w:rFonts w:hint="eastAsia"/>
                <w:bCs/>
                <w:sz w:val="24"/>
                <w:lang w:val="en-US" w:eastAsia="zh-CN"/>
              </w:rPr>
              <w:t>1.2</w:t>
            </w:r>
            <w:r>
              <w:rPr>
                <w:bCs/>
                <w:sz w:val="24"/>
              </w:rPr>
              <w:t>m</w:t>
            </w:r>
            <w:r>
              <w:rPr>
                <w:bCs/>
                <w:sz w:val="24"/>
                <w:vertAlign w:val="superscript"/>
              </w:rPr>
              <w:t>3</w:t>
            </w:r>
            <w:r>
              <w:rPr>
                <w:bCs/>
                <w:sz w:val="24"/>
              </w:rPr>
              <w:t>/d，排放量较小，</w:t>
            </w:r>
            <w:r>
              <w:rPr>
                <w:rFonts w:hint="eastAsia" w:ascii="宋体" w:hAnsi="宋体" w:cs="宋体"/>
                <w:bCs/>
                <w:sz w:val="24"/>
              </w:rPr>
              <w:t>因此</w:t>
            </w:r>
            <w:r>
              <w:rPr>
                <w:rFonts w:ascii="宋体" w:hAnsi="宋体" w:cs="宋体"/>
                <w:bCs/>
                <w:sz w:val="24"/>
              </w:rPr>
              <w:t>从水量上来看，</w:t>
            </w:r>
            <w:r>
              <w:rPr>
                <w:rFonts w:hint="eastAsia" w:ascii="宋体" w:hAnsi="宋体" w:cs="宋体"/>
                <w:bCs/>
                <w:sz w:val="24"/>
              </w:rPr>
              <w:t>本项目</w:t>
            </w:r>
            <w:r>
              <w:rPr>
                <w:rFonts w:ascii="宋体" w:hAnsi="宋体" w:cs="宋体"/>
                <w:bCs/>
                <w:sz w:val="24"/>
              </w:rPr>
              <w:t>废水进入</w:t>
            </w:r>
            <w:r>
              <w:rPr>
                <w:rFonts w:hint="eastAsia" w:ascii="宋体" w:hAnsi="宋体" w:cs="宋体"/>
                <w:bCs/>
                <w:sz w:val="24"/>
              </w:rPr>
              <w:t>漯河市淞江污水处理厂</w:t>
            </w:r>
            <w:r>
              <w:rPr>
                <w:rFonts w:ascii="宋体" w:hAnsi="宋体" w:cs="宋体"/>
                <w:bCs/>
                <w:sz w:val="24"/>
              </w:rPr>
              <w:t>是可行的</w:t>
            </w:r>
            <w:r>
              <w:rPr>
                <w:rFonts w:hint="eastAsia" w:ascii="宋体" w:hAnsi="宋体" w:cs="宋体"/>
                <w:bCs/>
                <w:sz w:val="24"/>
              </w:rPr>
              <w:t>；从水质上分析，</w:t>
            </w:r>
            <w:r>
              <w:rPr>
                <w:bCs/>
                <w:sz w:val="24"/>
              </w:rPr>
              <w:t>本次扩建工程废水经</w:t>
            </w:r>
            <w:r>
              <w:rPr>
                <w:rFonts w:hint="eastAsia"/>
                <w:bCs/>
                <w:sz w:val="24"/>
              </w:rPr>
              <w:t>厂区</w:t>
            </w:r>
            <w:r>
              <w:rPr>
                <w:bCs/>
                <w:sz w:val="24"/>
              </w:rPr>
              <w:t>污水处理站处理后</w:t>
            </w:r>
            <w:r>
              <w:rPr>
                <w:rFonts w:hint="eastAsia"/>
                <w:bCs/>
                <w:sz w:val="24"/>
              </w:rPr>
              <w:t>均</w:t>
            </w:r>
            <w:r>
              <w:rPr>
                <w:bCs/>
                <w:sz w:val="24"/>
              </w:rPr>
              <w:t>能够满足</w:t>
            </w:r>
            <w:r>
              <w:rPr>
                <w:rFonts w:hint="eastAsia"/>
                <w:bCs/>
                <w:sz w:val="24"/>
              </w:rPr>
              <w:t>《污水综合排放标准》（GB8978-1996）表4二级标准及漯河市淞江污水处理厂进水标准的要求</w:t>
            </w:r>
            <w:r>
              <w:rPr>
                <w:bCs/>
                <w:sz w:val="24"/>
              </w:rPr>
              <w:t>，因此从水质上来看，本次扩建工程废水进入</w:t>
            </w:r>
            <w:r>
              <w:rPr>
                <w:rFonts w:hint="eastAsia"/>
                <w:bCs/>
                <w:sz w:val="24"/>
              </w:rPr>
              <w:t>漯河市淞江污水处理厂</w:t>
            </w:r>
            <w:r>
              <w:rPr>
                <w:bCs/>
                <w:sz w:val="24"/>
              </w:rPr>
              <w:t>也是可行的。</w:t>
            </w:r>
          </w:p>
          <w:p>
            <w:pPr>
              <w:adjustRightInd w:val="0"/>
              <w:snapToGrid w:val="0"/>
              <w:ind w:firstLine="480" w:firstLineChars="200"/>
              <w:rPr>
                <w:rFonts w:hint="eastAsia"/>
                <w:sz w:val="24"/>
                <w:lang w:val="en-US" w:eastAsia="zh-CN"/>
              </w:rPr>
            </w:pPr>
            <w:r>
              <w:rPr>
                <w:rFonts w:hint="eastAsia"/>
                <w:sz w:val="24"/>
              </w:rPr>
              <w:t>项目废水产排情况见表4-</w:t>
            </w:r>
            <w:r>
              <w:rPr>
                <w:rFonts w:hint="eastAsia"/>
                <w:sz w:val="24"/>
                <w:lang w:val="en-US" w:eastAsia="zh-CN"/>
              </w:rPr>
              <w:t>7</w:t>
            </w:r>
          </w:p>
          <w:p>
            <w:pPr>
              <w:adjustRightInd w:val="0"/>
              <w:snapToGrid w:val="0"/>
              <w:ind w:firstLine="472" w:firstLineChars="200"/>
              <w:jc w:val="center"/>
              <w:rPr>
                <w:rFonts w:hint="eastAsia" w:eastAsia="黑体"/>
                <w:spacing w:val="-2"/>
                <w:sz w:val="24"/>
              </w:rPr>
            </w:pPr>
            <w:r>
              <w:rPr>
                <w:rFonts w:eastAsia="黑体"/>
                <w:spacing w:val="-2"/>
                <w:sz w:val="24"/>
              </w:rPr>
              <w:t>表4</w:t>
            </w:r>
            <w:r>
              <w:rPr>
                <w:rFonts w:hint="eastAsia" w:eastAsia="黑体"/>
                <w:spacing w:val="-2"/>
                <w:sz w:val="24"/>
              </w:rPr>
              <w:t>-</w:t>
            </w:r>
            <w:r>
              <w:rPr>
                <w:rFonts w:hint="eastAsia" w:eastAsia="黑体"/>
                <w:spacing w:val="-2"/>
                <w:sz w:val="24"/>
                <w:lang w:val="en-US" w:eastAsia="zh-CN"/>
              </w:rPr>
              <w:t>7</w:t>
            </w:r>
            <w:r>
              <w:rPr>
                <w:rFonts w:hint="eastAsia" w:eastAsia="黑体"/>
                <w:spacing w:val="-2"/>
                <w:sz w:val="24"/>
              </w:rPr>
              <w:t xml:space="preserve"> </w:t>
            </w:r>
            <w:r>
              <w:rPr>
                <w:rFonts w:eastAsia="黑体"/>
                <w:spacing w:val="-2"/>
                <w:sz w:val="24"/>
              </w:rPr>
              <w:t xml:space="preserve">   </w:t>
            </w:r>
            <w:r>
              <w:rPr>
                <w:rFonts w:hint="eastAsia" w:eastAsia="黑体"/>
                <w:spacing w:val="-2"/>
                <w:sz w:val="24"/>
              </w:rPr>
              <w:t xml:space="preserve">      </w:t>
            </w:r>
            <w:r>
              <w:rPr>
                <w:rFonts w:eastAsia="黑体"/>
                <w:spacing w:val="-2"/>
                <w:sz w:val="24"/>
              </w:rPr>
              <w:t>本</w:t>
            </w:r>
            <w:r>
              <w:rPr>
                <w:rFonts w:hint="eastAsia" w:eastAsia="黑体"/>
                <w:spacing w:val="-2"/>
                <w:sz w:val="24"/>
              </w:rPr>
              <w:t>项目</w:t>
            </w:r>
            <w:r>
              <w:rPr>
                <w:rFonts w:eastAsia="黑体"/>
                <w:spacing w:val="-2"/>
                <w:sz w:val="24"/>
              </w:rPr>
              <w:t>废水</w:t>
            </w:r>
            <w:r>
              <w:rPr>
                <w:rFonts w:hint="eastAsia" w:eastAsia="黑体"/>
                <w:spacing w:val="-2"/>
                <w:sz w:val="24"/>
              </w:rPr>
              <w:t>污染物产排情况</w:t>
            </w:r>
            <w:r>
              <w:rPr>
                <w:rFonts w:eastAsia="黑体"/>
                <w:spacing w:val="-2"/>
                <w:sz w:val="24"/>
              </w:rPr>
              <w:t>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22"/>
              <w:gridCol w:w="649"/>
              <w:gridCol w:w="770"/>
              <w:gridCol w:w="994"/>
              <w:gridCol w:w="857"/>
              <w:gridCol w:w="986"/>
              <w:gridCol w:w="713"/>
              <w:gridCol w:w="84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restart"/>
                  <w:noWrap w:val="0"/>
                  <w:vAlign w:val="center"/>
                </w:tcPr>
                <w:p>
                  <w:pPr>
                    <w:jc w:val="center"/>
                  </w:pPr>
                  <w:r>
                    <w:t>序号</w:t>
                  </w:r>
                </w:p>
              </w:tc>
              <w:tc>
                <w:tcPr>
                  <w:tcW w:w="454" w:type="pct"/>
                  <w:vMerge w:val="restart"/>
                  <w:noWrap w:val="0"/>
                  <w:vAlign w:val="center"/>
                </w:tcPr>
                <w:p>
                  <w:pPr>
                    <w:jc w:val="center"/>
                  </w:pPr>
                  <w:r>
                    <w:t>产污环节工序</w:t>
                  </w:r>
                </w:p>
              </w:tc>
              <w:tc>
                <w:tcPr>
                  <w:tcW w:w="408" w:type="pct"/>
                  <w:vMerge w:val="restart"/>
                  <w:noWrap w:val="0"/>
                  <w:vAlign w:val="center"/>
                </w:tcPr>
                <w:p>
                  <w:pPr>
                    <w:jc w:val="center"/>
                  </w:pPr>
                  <w:r>
                    <w:rPr>
                      <w:rFonts w:hint="eastAsia"/>
                    </w:rPr>
                    <w:t>类别</w:t>
                  </w:r>
                </w:p>
              </w:tc>
              <w:tc>
                <w:tcPr>
                  <w:tcW w:w="485" w:type="pct"/>
                  <w:vMerge w:val="restart"/>
                  <w:noWrap w:val="0"/>
                  <w:vAlign w:val="center"/>
                </w:tcPr>
                <w:p>
                  <w:pPr>
                    <w:jc w:val="center"/>
                  </w:pPr>
                  <w:r>
                    <w:rPr>
                      <w:rFonts w:hint="eastAsia"/>
                    </w:rPr>
                    <w:t>污染物</w:t>
                  </w:r>
                  <w:r>
                    <w:t>种类</w:t>
                  </w:r>
                </w:p>
              </w:tc>
              <w:tc>
                <w:tcPr>
                  <w:tcW w:w="1166" w:type="pct"/>
                  <w:gridSpan w:val="2"/>
                  <w:noWrap w:val="0"/>
                  <w:vAlign w:val="center"/>
                </w:tcPr>
                <w:p>
                  <w:pPr>
                    <w:jc w:val="center"/>
                  </w:pPr>
                  <w:r>
                    <w:t>污染物产生情况</w:t>
                  </w:r>
                </w:p>
              </w:tc>
              <w:tc>
                <w:tcPr>
                  <w:tcW w:w="621" w:type="pct"/>
                  <w:vMerge w:val="restart"/>
                  <w:noWrap w:val="0"/>
                  <w:vAlign w:val="center"/>
                </w:tcPr>
                <w:p>
                  <w:pPr>
                    <w:jc w:val="center"/>
                  </w:pPr>
                  <w:r>
                    <w:t>治理设施</w:t>
                  </w:r>
                </w:p>
              </w:tc>
              <w:tc>
                <w:tcPr>
                  <w:tcW w:w="980" w:type="pct"/>
                  <w:gridSpan w:val="2"/>
                  <w:noWrap w:val="0"/>
                  <w:vAlign w:val="center"/>
                </w:tcPr>
                <w:p>
                  <w:pPr>
                    <w:jc w:val="center"/>
                  </w:pPr>
                  <w:r>
                    <w:t>污染物</w:t>
                  </w:r>
                  <w:r>
                    <w:rPr>
                      <w:rFonts w:hint="eastAsia"/>
                    </w:rPr>
                    <w:t>排放</w:t>
                  </w:r>
                  <w:r>
                    <w:t>情况</w:t>
                  </w:r>
                </w:p>
              </w:tc>
              <w:tc>
                <w:tcPr>
                  <w:tcW w:w="609" w:type="pct"/>
                  <w:vMerge w:val="restart"/>
                  <w:noWrap w:val="0"/>
                  <w:vAlign w:val="center"/>
                </w:tcPr>
                <w:p>
                  <w:pPr>
                    <w:jc w:val="center"/>
                  </w:pPr>
                  <w: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Merge w:val="continue"/>
                  <w:noWrap w:val="0"/>
                  <w:vAlign w:val="center"/>
                </w:tcPr>
                <w:p>
                  <w:pPr>
                    <w:jc w:val="center"/>
                  </w:pPr>
                </w:p>
              </w:tc>
              <w:tc>
                <w:tcPr>
                  <w:tcW w:w="454" w:type="pct"/>
                  <w:vMerge w:val="continue"/>
                  <w:noWrap w:val="0"/>
                  <w:vAlign w:val="center"/>
                </w:tcPr>
                <w:p>
                  <w:pPr>
                    <w:jc w:val="center"/>
                  </w:pPr>
                </w:p>
              </w:tc>
              <w:tc>
                <w:tcPr>
                  <w:tcW w:w="408" w:type="pct"/>
                  <w:vMerge w:val="continue"/>
                  <w:noWrap w:val="0"/>
                  <w:vAlign w:val="center"/>
                </w:tcPr>
                <w:p>
                  <w:pPr>
                    <w:jc w:val="center"/>
                    <w:rPr>
                      <w:rFonts w:hint="eastAsia"/>
                    </w:rPr>
                  </w:pPr>
                </w:p>
              </w:tc>
              <w:tc>
                <w:tcPr>
                  <w:tcW w:w="485" w:type="pct"/>
                  <w:vMerge w:val="continue"/>
                  <w:noWrap w:val="0"/>
                  <w:vAlign w:val="center"/>
                </w:tcPr>
                <w:p>
                  <w:pPr>
                    <w:jc w:val="center"/>
                    <w:rPr>
                      <w:rFonts w:hint="eastAsia"/>
                    </w:rPr>
                  </w:pPr>
                </w:p>
              </w:tc>
              <w:tc>
                <w:tcPr>
                  <w:tcW w:w="626" w:type="pct"/>
                  <w:noWrap w:val="0"/>
                  <w:vAlign w:val="center"/>
                </w:tcPr>
                <w:p>
                  <w:pPr>
                    <w:jc w:val="center"/>
                  </w:pPr>
                  <w:r>
                    <w:t>产生浓度</w:t>
                  </w:r>
                </w:p>
              </w:tc>
              <w:tc>
                <w:tcPr>
                  <w:tcW w:w="539" w:type="pct"/>
                  <w:noWrap w:val="0"/>
                  <w:vAlign w:val="center"/>
                </w:tcPr>
                <w:p>
                  <w:pPr>
                    <w:jc w:val="center"/>
                  </w:pPr>
                  <w:r>
                    <w:t>产生量</w:t>
                  </w:r>
                </w:p>
              </w:tc>
              <w:tc>
                <w:tcPr>
                  <w:tcW w:w="621" w:type="pct"/>
                  <w:vMerge w:val="continue"/>
                  <w:noWrap w:val="0"/>
                  <w:vAlign w:val="center"/>
                </w:tcPr>
                <w:p>
                  <w:pPr>
                    <w:jc w:val="center"/>
                  </w:pPr>
                </w:p>
              </w:tc>
              <w:tc>
                <w:tcPr>
                  <w:tcW w:w="449" w:type="pct"/>
                  <w:noWrap w:val="0"/>
                  <w:vAlign w:val="center"/>
                </w:tcPr>
                <w:p>
                  <w:pPr>
                    <w:jc w:val="center"/>
                  </w:pPr>
                  <w:r>
                    <w:t>排放浓度</w:t>
                  </w:r>
                </w:p>
              </w:tc>
              <w:tc>
                <w:tcPr>
                  <w:tcW w:w="531" w:type="pct"/>
                  <w:noWrap w:val="0"/>
                  <w:vAlign w:val="center"/>
                </w:tcPr>
                <w:p>
                  <w:pPr>
                    <w:jc w:val="center"/>
                  </w:pPr>
                  <w:r>
                    <w:t>排放量</w:t>
                  </w:r>
                </w:p>
              </w:tc>
              <w:tc>
                <w:tcPr>
                  <w:tcW w:w="609" w:type="pct"/>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73" w:type="pct"/>
                  <w:vMerge w:val="restart"/>
                  <w:noWrap w:val="0"/>
                  <w:vAlign w:val="center"/>
                </w:tcPr>
                <w:p>
                  <w:pPr>
                    <w:jc w:val="center"/>
                    <w:rPr>
                      <w:rFonts w:hint="eastAsia"/>
                    </w:rPr>
                  </w:pPr>
                  <w:r>
                    <w:rPr>
                      <w:rFonts w:hint="eastAsia"/>
                    </w:rPr>
                    <w:t>2</w:t>
                  </w:r>
                </w:p>
              </w:tc>
              <w:tc>
                <w:tcPr>
                  <w:tcW w:w="454" w:type="pct"/>
                  <w:vMerge w:val="restart"/>
                  <w:noWrap w:val="0"/>
                  <w:vAlign w:val="center"/>
                </w:tcPr>
                <w:p>
                  <w:pPr>
                    <w:jc w:val="center"/>
                  </w:pPr>
                  <w:r>
                    <w:rPr>
                      <w:rFonts w:hint="eastAsia"/>
                    </w:rPr>
                    <w:t>职工生活</w:t>
                  </w:r>
                </w:p>
              </w:tc>
              <w:tc>
                <w:tcPr>
                  <w:tcW w:w="408" w:type="pct"/>
                  <w:vMerge w:val="restart"/>
                  <w:noWrap w:val="0"/>
                  <w:vAlign w:val="center"/>
                </w:tcPr>
                <w:p>
                  <w:pPr>
                    <w:jc w:val="center"/>
                    <w:rPr>
                      <w:rFonts w:hint="eastAsia"/>
                    </w:rPr>
                  </w:pPr>
                  <w:r>
                    <w:rPr>
                      <w:rFonts w:hint="eastAsia"/>
                    </w:rPr>
                    <w:t>生活污水</w:t>
                  </w:r>
                </w:p>
              </w:tc>
              <w:tc>
                <w:tcPr>
                  <w:tcW w:w="485" w:type="pct"/>
                  <w:noWrap w:val="0"/>
                  <w:vAlign w:val="center"/>
                </w:tcPr>
                <w:p>
                  <w:pPr>
                    <w:jc w:val="center"/>
                  </w:pPr>
                  <w:r>
                    <w:rPr>
                      <w:rFonts w:hint="eastAsia"/>
                    </w:rPr>
                    <w:t>水量</w:t>
                  </w:r>
                </w:p>
              </w:tc>
              <w:tc>
                <w:tcPr>
                  <w:tcW w:w="1166" w:type="pct"/>
                  <w:gridSpan w:val="2"/>
                  <w:noWrap w:val="0"/>
                  <w:vAlign w:val="center"/>
                </w:tcPr>
                <w:p>
                  <w:pPr>
                    <w:jc w:val="center"/>
                    <w:rPr>
                      <w:szCs w:val="21"/>
                    </w:rPr>
                  </w:pPr>
                  <w:r>
                    <w:rPr>
                      <w:rFonts w:hint="eastAsia"/>
                      <w:szCs w:val="21"/>
                      <w:lang w:val="en-US" w:eastAsia="zh-CN"/>
                    </w:rPr>
                    <w:t>1.2</w:t>
                  </w:r>
                  <w:r>
                    <w:rPr>
                      <w:szCs w:val="21"/>
                    </w:rPr>
                    <w:t>m</w:t>
                  </w:r>
                  <w:r>
                    <w:rPr>
                      <w:szCs w:val="21"/>
                      <w:vertAlign w:val="superscript"/>
                    </w:rPr>
                    <w:t>3</w:t>
                  </w:r>
                  <w:r>
                    <w:rPr>
                      <w:szCs w:val="21"/>
                    </w:rPr>
                    <w:t>/d</w:t>
                  </w:r>
                  <w:r>
                    <w:rPr>
                      <w:rFonts w:hint="eastAsia"/>
                      <w:szCs w:val="21"/>
                    </w:rPr>
                    <w:t>、</w:t>
                  </w:r>
                  <w:r>
                    <w:rPr>
                      <w:rFonts w:hint="eastAsia"/>
                      <w:szCs w:val="21"/>
                      <w:lang w:val="en-US" w:eastAsia="zh-CN"/>
                    </w:rPr>
                    <w:t>360</w:t>
                  </w:r>
                  <w:r>
                    <w:rPr>
                      <w:szCs w:val="21"/>
                    </w:rPr>
                    <w:t>m</w:t>
                  </w:r>
                  <w:r>
                    <w:rPr>
                      <w:szCs w:val="21"/>
                      <w:vertAlign w:val="superscript"/>
                    </w:rPr>
                    <w:t>3</w:t>
                  </w:r>
                  <w:r>
                    <w:rPr>
                      <w:szCs w:val="21"/>
                    </w:rPr>
                    <w:t>/a</w:t>
                  </w:r>
                </w:p>
              </w:tc>
              <w:tc>
                <w:tcPr>
                  <w:tcW w:w="621" w:type="pct"/>
                  <w:vMerge w:val="restart"/>
                  <w:noWrap w:val="0"/>
                  <w:vAlign w:val="center"/>
                </w:tcPr>
                <w:p>
                  <w:pPr>
                    <w:jc w:val="center"/>
                    <w:rPr>
                      <w:rFonts w:hint="eastAsia"/>
                    </w:rPr>
                  </w:pPr>
                  <w:r>
                    <w:rPr>
                      <w:rFonts w:hint="eastAsia"/>
                    </w:rPr>
                    <w:t>化粪池</w:t>
                  </w:r>
                </w:p>
              </w:tc>
              <w:tc>
                <w:tcPr>
                  <w:tcW w:w="980" w:type="pct"/>
                  <w:gridSpan w:val="2"/>
                  <w:noWrap w:val="0"/>
                  <w:vAlign w:val="center"/>
                </w:tcPr>
                <w:p>
                  <w:pPr>
                    <w:jc w:val="center"/>
                    <w:rPr>
                      <w:rFonts w:hint="eastAsia"/>
                    </w:rPr>
                  </w:pPr>
                  <w:r>
                    <w:rPr>
                      <w:rFonts w:hint="eastAsia"/>
                      <w:szCs w:val="22"/>
                      <w:lang w:val="en-US" w:eastAsia="zh-CN"/>
                    </w:rPr>
                    <w:t>0.96</w:t>
                  </w:r>
                  <w:r>
                    <w:rPr>
                      <w:szCs w:val="22"/>
                    </w:rPr>
                    <w:t>m</w:t>
                  </w:r>
                  <w:r>
                    <w:rPr>
                      <w:szCs w:val="22"/>
                      <w:vertAlign w:val="superscript"/>
                    </w:rPr>
                    <w:t>3</w:t>
                  </w:r>
                  <w:r>
                    <w:rPr>
                      <w:szCs w:val="22"/>
                    </w:rPr>
                    <w:t>/d</w:t>
                  </w:r>
                  <w:r>
                    <w:rPr>
                      <w:rFonts w:hint="eastAsia"/>
                      <w:szCs w:val="22"/>
                    </w:rPr>
                    <w:t>、</w:t>
                  </w:r>
                  <w:r>
                    <w:rPr>
                      <w:rFonts w:hint="eastAsia"/>
                      <w:szCs w:val="22"/>
                      <w:lang w:val="en-US" w:eastAsia="zh-CN"/>
                    </w:rPr>
                    <w:t>288</w:t>
                  </w:r>
                  <w:r>
                    <w:rPr>
                      <w:szCs w:val="22"/>
                    </w:rPr>
                    <w:t>m</w:t>
                  </w:r>
                  <w:r>
                    <w:rPr>
                      <w:szCs w:val="22"/>
                      <w:vertAlign w:val="superscript"/>
                    </w:rPr>
                    <w:t>3</w:t>
                  </w:r>
                  <w:r>
                    <w:rPr>
                      <w:szCs w:val="22"/>
                    </w:rPr>
                    <w:t>/a</w:t>
                  </w:r>
                </w:p>
              </w:tc>
              <w:tc>
                <w:tcPr>
                  <w:tcW w:w="609" w:type="pct"/>
                  <w:vMerge w:val="restart"/>
                  <w:noWrap w:val="0"/>
                  <w:vAlign w:val="center"/>
                </w:tcPr>
                <w:p>
                  <w:pPr>
                    <w:jc w:val="center"/>
                  </w:pPr>
                  <w:r>
                    <w:rPr>
                      <w:rFonts w:hint="eastAsia"/>
                    </w:rPr>
                    <w:t>排入漯河市淞江污水处理厂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73" w:type="pct"/>
                  <w:vMerge w:val="continue"/>
                  <w:noWrap w:val="0"/>
                  <w:vAlign w:val="center"/>
                </w:tcPr>
                <w:p>
                  <w:pPr>
                    <w:jc w:val="center"/>
                    <w:rPr>
                      <w:rFonts w:hint="eastAsia"/>
                    </w:rPr>
                  </w:pPr>
                </w:p>
              </w:tc>
              <w:tc>
                <w:tcPr>
                  <w:tcW w:w="454" w:type="pct"/>
                  <w:vMerge w:val="continue"/>
                  <w:noWrap w:val="0"/>
                  <w:vAlign w:val="center"/>
                </w:tcPr>
                <w:p>
                  <w:pPr>
                    <w:jc w:val="center"/>
                    <w:rPr>
                      <w:rFonts w:hint="eastAsia"/>
                    </w:rPr>
                  </w:pPr>
                </w:p>
              </w:tc>
              <w:tc>
                <w:tcPr>
                  <w:tcW w:w="408" w:type="pct"/>
                  <w:vMerge w:val="continue"/>
                  <w:noWrap w:val="0"/>
                  <w:vAlign w:val="center"/>
                </w:tcPr>
                <w:p>
                  <w:pPr>
                    <w:jc w:val="center"/>
                    <w:rPr>
                      <w:rFonts w:hint="eastAsia"/>
                    </w:rPr>
                  </w:pPr>
                </w:p>
              </w:tc>
              <w:tc>
                <w:tcPr>
                  <w:tcW w:w="485" w:type="pct"/>
                  <w:noWrap w:val="0"/>
                  <w:vAlign w:val="center"/>
                </w:tcPr>
                <w:p>
                  <w:pPr>
                    <w:jc w:val="center"/>
                    <w:rPr>
                      <w:rFonts w:hint="eastAsia"/>
                    </w:rPr>
                  </w:pPr>
                  <w:r>
                    <w:rPr>
                      <w:rFonts w:hint="eastAsia"/>
                    </w:rPr>
                    <w:t>COD</w:t>
                  </w:r>
                </w:p>
              </w:tc>
              <w:tc>
                <w:tcPr>
                  <w:tcW w:w="626" w:type="pct"/>
                  <w:noWrap w:val="0"/>
                  <w:vAlign w:val="center"/>
                </w:tcPr>
                <w:p>
                  <w:pPr>
                    <w:jc w:val="center"/>
                    <w:rPr>
                      <w:szCs w:val="21"/>
                    </w:rPr>
                  </w:pPr>
                  <w:r>
                    <w:rPr>
                      <w:rFonts w:hint="eastAsia"/>
                      <w:szCs w:val="21"/>
                    </w:rPr>
                    <w:t>3</w:t>
                  </w:r>
                  <w:r>
                    <w:rPr>
                      <w:rFonts w:hint="eastAsia"/>
                      <w:szCs w:val="21"/>
                      <w:lang w:val="en-US" w:eastAsia="zh-CN"/>
                    </w:rPr>
                    <w:t>00</w:t>
                  </w:r>
                  <w:r>
                    <w:rPr>
                      <w:rFonts w:hint="eastAsia"/>
                      <w:color w:val="000000"/>
                      <w:szCs w:val="21"/>
                    </w:rPr>
                    <w:t>mg/L</w:t>
                  </w:r>
                </w:p>
              </w:tc>
              <w:tc>
                <w:tcPr>
                  <w:tcW w:w="539" w:type="pct"/>
                  <w:noWrap w:val="0"/>
                  <w:vAlign w:val="center"/>
                </w:tcPr>
                <w:p>
                  <w:pPr>
                    <w:jc w:val="center"/>
                  </w:pPr>
                  <w:r>
                    <w:rPr>
                      <w:rFonts w:hint="eastAsia"/>
                      <w:lang w:val="en-US" w:eastAsia="zh-CN"/>
                    </w:rPr>
                    <w:t>0.108</w:t>
                  </w:r>
                  <w:r>
                    <w:t>t/a</w:t>
                  </w:r>
                </w:p>
              </w:tc>
              <w:tc>
                <w:tcPr>
                  <w:tcW w:w="621" w:type="pct"/>
                  <w:vMerge w:val="continue"/>
                  <w:noWrap w:val="0"/>
                  <w:vAlign w:val="center"/>
                </w:tcPr>
                <w:p>
                  <w:pPr>
                    <w:jc w:val="center"/>
                  </w:pPr>
                </w:p>
              </w:tc>
              <w:tc>
                <w:tcPr>
                  <w:tcW w:w="449" w:type="pct"/>
                  <w:noWrap w:val="0"/>
                  <w:vAlign w:val="center"/>
                </w:tcPr>
                <w:p>
                  <w:pPr>
                    <w:jc w:val="center"/>
                  </w:pPr>
                  <w:r>
                    <w:rPr>
                      <w:rFonts w:hint="eastAsia"/>
                    </w:rPr>
                    <w:t>150</w:t>
                  </w:r>
                  <w:r>
                    <w:rPr>
                      <w:rFonts w:hint="eastAsia"/>
                      <w:color w:val="000000"/>
                      <w:szCs w:val="21"/>
                    </w:rPr>
                    <w:t>mg/L</w:t>
                  </w:r>
                </w:p>
              </w:tc>
              <w:tc>
                <w:tcPr>
                  <w:tcW w:w="531" w:type="pct"/>
                  <w:noWrap w:val="0"/>
                  <w:vAlign w:val="center"/>
                </w:tcPr>
                <w:p>
                  <w:pPr>
                    <w:jc w:val="center"/>
                  </w:pPr>
                  <w:r>
                    <w:rPr>
                      <w:rFonts w:hint="eastAsia"/>
                      <w:lang w:val="en-US" w:eastAsia="zh-CN"/>
                    </w:rPr>
                    <w:t>0.0432</w:t>
                  </w:r>
                  <w:r>
                    <w:t>t/a</w:t>
                  </w:r>
                </w:p>
              </w:tc>
              <w:tc>
                <w:tcPr>
                  <w:tcW w:w="609" w:type="pct"/>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73" w:type="pct"/>
                  <w:vMerge w:val="continue"/>
                  <w:noWrap w:val="0"/>
                  <w:vAlign w:val="center"/>
                </w:tcPr>
                <w:p>
                  <w:pPr>
                    <w:jc w:val="center"/>
                    <w:rPr>
                      <w:rFonts w:hint="eastAsia"/>
                    </w:rPr>
                  </w:pPr>
                </w:p>
              </w:tc>
              <w:tc>
                <w:tcPr>
                  <w:tcW w:w="454" w:type="pct"/>
                  <w:vMerge w:val="continue"/>
                  <w:noWrap w:val="0"/>
                  <w:vAlign w:val="center"/>
                </w:tcPr>
                <w:p>
                  <w:pPr>
                    <w:jc w:val="center"/>
                    <w:rPr>
                      <w:rFonts w:hint="eastAsia"/>
                    </w:rPr>
                  </w:pPr>
                </w:p>
              </w:tc>
              <w:tc>
                <w:tcPr>
                  <w:tcW w:w="408" w:type="pct"/>
                  <w:vMerge w:val="continue"/>
                  <w:noWrap w:val="0"/>
                  <w:vAlign w:val="center"/>
                </w:tcPr>
                <w:p>
                  <w:pPr>
                    <w:jc w:val="center"/>
                    <w:rPr>
                      <w:rFonts w:hint="eastAsia"/>
                    </w:rPr>
                  </w:pPr>
                </w:p>
              </w:tc>
              <w:tc>
                <w:tcPr>
                  <w:tcW w:w="485" w:type="pct"/>
                  <w:noWrap w:val="0"/>
                  <w:vAlign w:val="center"/>
                </w:tcPr>
                <w:p>
                  <w:pPr>
                    <w:jc w:val="center"/>
                    <w:rPr>
                      <w:rFonts w:hint="eastAsia"/>
                    </w:rPr>
                  </w:pPr>
                  <w:r>
                    <w:rPr>
                      <w:rFonts w:hint="eastAsia"/>
                    </w:rPr>
                    <w:t>氨氮</w:t>
                  </w:r>
                </w:p>
              </w:tc>
              <w:tc>
                <w:tcPr>
                  <w:tcW w:w="626" w:type="pct"/>
                  <w:noWrap w:val="0"/>
                  <w:vAlign w:val="center"/>
                </w:tcPr>
                <w:p>
                  <w:pPr>
                    <w:jc w:val="center"/>
                    <w:rPr>
                      <w:szCs w:val="21"/>
                    </w:rPr>
                  </w:pPr>
                  <w:r>
                    <w:rPr>
                      <w:rFonts w:hint="eastAsia"/>
                      <w:szCs w:val="21"/>
                    </w:rPr>
                    <w:t>30</w:t>
                  </w:r>
                  <w:r>
                    <w:rPr>
                      <w:rFonts w:hint="eastAsia"/>
                      <w:color w:val="000000"/>
                      <w:szCs w:val="21"/>
                    </w:rPr>
                    <w:t>mg/L</w:t>
                  </w:r>
                </w:p>
              </w:tc>
              <w:tc>
                <w:tcPr>
                  <w:tcW w:w="539" w:type="pct"/>
                  <w:noWrap w:val="0"/>
                  <w:vAlign w:val="center"/>
                </w:tcPr>
                <w:p>
                  <w:pPr>
                    <w:jc w:val="center"/>
                  </w:pPr>
                  <w:r>
                    <w:rPr>
                      <w:rFonts w:hint="eastAsia"/>
                      <w:lang w:val="en-US" w:eastAsia="zh-CN"/>
                    </w:rPr>
                    <w:t>0.0108</w:t>
                  </w:r>
                  <w:r>
                    <w:t>t/a</w:t>
                  </w:r>
                </w:p>
              </w:tc>
              <w:tc>
                <w:tcPr>
                  <w:tcW w:w="621" w:type="pct"/>
                  <w:vMerge w:val="continue"/>
                  <w:noWrap w:val="0"/>
                  <w:vAlign w:val="center"/>
                </w:tcPr>
                <w:p>
                  <w:pPr>
                    <w:jc w:val="center"/>
                  </w:pPr>
                </w:p>
              </w:tc>
              <w:tc>
                <w:tcPr>
                  <w:tcW w:w="449" w:type="pct"/>
                  <w:noWrap w:val="0"/>
                  <w:vAlign w:val="center"/>
                </w:tcPr>
                <w:p>
                  <w:pPr>
                    <w:jc w:val="center"/>
                  </w:pPr>
                  <w:r>
                    <w:rPr>
                      <w:rFonts w:hint="eastAsia"/>
                    </w:rPr>
                    <w:t>25</w:t>
                  </w:r>
                  <w:r>
                    <w:rPr>
                      <w:rFonts w:hint="eastAsia"/>
                      <w:color w:val="000000"/>
                      <w:szCs w:val="21"/>
                    </w:rPr>
                    <w:t>mg/L</w:t>
                  </w:r>
                </w:p>
              </w:tc>
              <w:tc>
                <w:tcPr>
                  <w:tcW w:w="531" w:type="pct"/>
                  <w:noWrap w:val="0"/>
                  <w:vAlign w:val="center"/>
                </w:tcPr>
                <w:p>
                  <w:pPr>
                    <w:jc w:val="center"/>
                  </w:pPr>
                  <w:r>
                    <w:rPr>
                      <w:rFonts w:hint="eastAsia"/>
                      <w:lang w:val="en-US" w:eastAsia="zh-CN"/>
                    </w:rPr>
                    <w:t>0.0072</w:t>
                  </w:r>
                  <w:r>
                    <w:t>t/a</w:t>
                  </w:r>
                </w:p>
              </w:tc>
              <w:tc>
                <w:tcPr>
                  <w:tcW w:w="609" w:type="pct"/>
                  <w:vMerge w:val="continue"/>
                  <w:noWrap w:val="0"/>
                  <w:vAlign w:val="center"/>
                </w:tcPr>
                <w:p>
                  <w:pPr>
                    <w:jc w:val="center"/>
                  </w:pPr>
                </w:p>
              </w:tc>
            </w:tr>
          </w:tbl>
          <w:p>
            <w:pPr>
              <w:pStyle w:val="24"/>
              <w:spacing w:line="360" w:lineRule="auto"/>
              <w:ind w:firstLine="480" w:firstLineChars="200"/>
              <w:rPr>
                <w:rFonts w:hint="eastAsia" w:ascii="Times New Roman" w:hAnsi="Times New Roman" w:eastAsia="宋体" w:cs="Times New Roman"/>
                <w:color w:val="000000"/>
                <w:kern w:val="0"/>
                <w:sz w:val="24"/>
                <w:szCs w:val="22"/>
                <w:lang w:val="zh-CN" w:eastAsia="zh-CN" w:bidi="zh-CN"/>
              </w:rPr>
            </w:pPr>
            <w:r>
              <w:rPr>
                <w:rFonts w:hint="eastAsia" w:ascii="Times New Roman" w:hAnsi="Times New Roman" w:eastAsia="宋体" w:cs="Times New Roman"/>
                <w:color w:val="000000"/>
                <w:kern w:val="0"/>
                <w:sz w:val="24"/>
                <w:szCs w:val="22"/>
                <w:lang w:val="zh-CN" w:eastAsia="zh-CN" w:bidi="zh-CN"/>
              </w:rPr>
              <w:t>综上，本项目职工办公生活废水进入淞江产业集聚区污水处理厂处理是可行的，经污水处理厂处理后废水排放至柳支河，在漯河出境处汇入颍河，对地表水环境影响不大。</w:t>
            </w:r>
          </w:p>
          <w:p>
            <w:pPr>
              <w:tabs>
                <w:tab w:val="left" w:pos="6843"/>
              </w:tabs>
              <w:adjustRightInd w:val="0"/>
              <w:snapToGrid w:val="0"/>
              <w:spacing w:line="360" w:lineRule="auto"/>
              <w:rPr>
                <w:rFonts w:hint="default" w:ascii="Times New Roman" w:hAnsi="Times New Roman" w:eastAsia="宋体" w:cs="Times New Roman"/>
                <w:b/>
                <w:bCs/>
                <w:sz w:val="24"/>
              </w:rPr>
            </w:pPr>
            <w:r>
              <w:rPr>
                <w:rFonts w:hint="eastAsia" w:ascii="Times New Roman" w:hAnsi="Times New Roman" w:eastAsia="宋体" w:cs="Times New Roman"/>
                <w:b/>
                <w:bCs/>
                <w:sz w:val="24"/>
              </w:rPr>
              <w:t>2.3</w:t>
            </w:r>
            <w:r>
              <w:rPr>
                <w:rFonts w:hint="default" w:ascii="Times New Roman" w:hAnsi="Times New Roman" w:eastAsia="宋体" w:cs="Times New Roman"/>
                <w:b/>
                <w:bCs/>
                <w:sz w:val="24"/>
              </w:rPr>
              <w:t>总量控制</w:t>
            </w:r>
          </w:p>
          <w:p>
            <w:pPr>
              <w:pStyle w:val="58"/>
              <w:keepNext w:val="0"/>
              <w:keepLines w:val="0"/>
              <w:pageBreakBefore w:val="0"/>
              <w:widowControl w:val="0"/>
              <w:kinsoku/>
              <w:wordWrap/>
              <w:overflowPunct/>
              <w:topLinePunct w:val="0"/>
              <w:autoSpaceDE/>
              <w:autoSpaceDN/>
              <w:bidi w:val="0"/>
              <w:adjustRightInd w:val="0"/>
              <w:snapToGrid w:val="0"/>
              <w:spacing w:line="520" w:lineRule="atLeast"/>
              <w:ind w:left="0" w:leftChars="0" w:firstLine="480" w:firstLineChars="200"/>
              <w:textAlignment w:val="auto"/>
              <w:rPr>
                <w:rFonts w:hint="default" w:ascii="Times New Roman" w:hAnsi="Times New Roman" w:cs="Times New Roman"/>
                <w:color w:val="auto"/>
                <w:sz w:val="24"/>
                <w:szCs w:val="24"/>
              </w:rPr>
            </w:pPr>
            <w:r>
              <w:rPr>
                <w:rFonts w:hint="eastAsia" w:ascii="Times New Roman" w:hAnsi="Times New Roman" w:eastAsia="宋体" w:cs="Times New Roman"/>
                <w:sz w:val="24"/>
              </w:rPr>
              <w:t>本项目废水排放量为</w:t>
            </w:r>
            <w:r>
              <w:rPr>
                <w:rFonts w:hint="eastAsia" w:ascii="Times New Roman" w:hAnsi="Times New Roman" w:eastAsia="宋体" w:cs="Times New Roman"/>
                <w:sz w:val="24"/>
                <w:lang w:val="en-US" w:eastAsia="zh-CN"/>
              </w:rPr>
              <w:t>288</w:t>
            </w:r>
            <w:r>
              <w:rPr>
                <w:rFonts w:hint="eastAsia" w:ascii="Times New Roman" w:hAnsi="Times New Roman" w:eastAsia="宋体" w:cs="Times New Roman"/>
                <w:sz w:val="24"/>
              </w:rPr>
              <w:t>m3/a</w:t>
            </w:r>
            <w:r>
              <w:rPr>
                <w:rFonts w:hint="eastAsia"/>
                <w:szCs w:val="21"/>
                <w:highlight w:val="none"/>
              </w:rPr>
              <w:t>，</w:t>
            </w:r>
            <w:r>
              <w:rPr>
                <w:sz w:val="24"/>
              </w:rPr>
              <w:t>，项目允许出水浓度COD150mg/L、氨氮25mg/L，允许排放总量分别为</w:t>
            </w:r>
            <w:r>
              <w:rPr>
                <w:rFonts w:hint="eastAsia"/>
                <w:sz w:val="24"/>
                <w:lang w:val="en-US" w:eastAsia="zh-CN"/>
              </w:rPr>
              <w:t>0.0432</w:t>
            </w:r>
            <w:r>
              <w:rPr>
                <w:sz w:val="24"/>
              </w:rPr>
              <w:t>t/a、</w:t>
            </w:r>
            <w:r>
              <w:rPr>
                <w:rFonts w:hint="eastAsia"/>
                <w:sz w:val="24"/>
                <w:lang w:val="en-US" w:eastAsia="zh-CN"/>
              </w:rPr>
              <w:t>0.0072</w:t>
            </w:r>
            <w:r>
              <w:rPr>
                <w:sz w:val="24"/>
              </w:rPr>
              <w:t>t/a；根据2020年漯河市颍河水质管控目标的要求，项目总量核算指标按照颍河COD20mg/L、氨氮1.0mg/L核算，核定总量分别为</w:t>
            </w:r>
            <w:r>
              <w:rPr>
                <w:rFonts w:hint="eastAsia"/>
                <w:sz w:val="24"/>
              </w:rPr>
              <w:t>0.00</w:t>
            </w:r>
            <w:r>
              <w:rPr>
                <w:rFonts w:hint="eastAsia"/>
                <w:sz w:val="24"/>
                <w:lang w:val="en-US" w:eastAsia="zh-CN"/>
              </w:rPr>
              <w:t>58</w:t>
            </w:r>
            <w:r>
              <w:rPr>
                <w:sz w:val="24"/>
              </w:rPr>
              <w:t>t/a、</w:t>
            </w:r>
            <w:r>
              <w:rPr>
                <w:rFonts w:hint="eastAsia"/>
                <w:sz w:val="24"/>
                <w:lang w:val="en-US" w:eastAsia="zh-CN"/>
              </w:rPr>
              <w:t>0.0003</w:t>
            </w:r>
            <w:r>
              <w:rPr>
                <w:sz w:val="24"/>
              </w:rPr>
              <w:t>t/a。</w:t>
            </w:r>
          </w:p>
          <w:p>
            <w:pPr>
              <w:pStyle w:val="24"/>
              <w:ind w:firstLine="480" w:firstLineChars="200"/>
              <w:rPr>
                <w:rFonts w:hint="eastAsia"/>
                <w:bCs/>
                <w:sz w:val="24"/>
              </w:rPr>
            </w:pPr>
          </w:p>
          <w:p>
            <w:pPr>
              <w:adjustRightInd w:val="0"/>
              <w:snapToGrid w:val="0"/>
              <w:ind w:firstLine="472" w:firstLineChars="200"/>
              <w:jc w:val="center"/>
            </w:pPr>
            <w:r>
              <w:rPr>
                <w:rFonts w:eastAsia="黑体"/>
                <w:spacing w:val="-2"/>
                <w:sz w:val="24"/>
              </w:rPr>
              <w:t>表4</w:t>
            </w:r>
            <w:r>
              <w:rPr>
                <w:rFonts w:hint="eastAsia" w:eastAsia="黑体"/>
                <w:spacing w:val="-2"/>
                <w:sz w:val="24"/>
              </w:rPr>
              <w:t>-</w:t>
            </w:r>
            <w:r>
              <w:rPr>
                <w:rFonts w:hint="eastAsia" w:eastAsia="黑体"/>
                <w:spacing w:val="-2"/>
                <w:sz w:val="24"/>
                <w:lang w:val="en-US" w:eastAsia="zh-CN"/>
              </w:rPr>
              <w:t>8</w:t>
            </w:r>
            <w:r>
              <w:rPr>
                <w:rFonts w:eastAsia="黑体"/>
                <w:spacing w:val="-2"/>
                <w:sz w:val="24"/>
              </w:rPr>
              <w:t xml:space="preserve">            </w:t>
            </w:r>
            <w:r>
              <w:rPr>
                <w:rFonts w:hint="eastAsia" w:eastAsia="黑体"/>
                <w:spacing w:val="-2"/>
                <w:sz w:val="24"/>
              </w:rPr>
              <w:t>项目排放口</w:t>
            </w:r>
            <w:r>
              <w:rPr>
                <w:rFonts w:eastAsia="黑体"/>
                <w:spacing w:val="-2"/>
                <w:sz w:val="24"/>
              </w:rPr>
              <w:t>基本情况一览表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709"/>
              <w:gridCol w:w="709"/>
              <w:gridCol w:w="923"/>
              <w:gridCol w:w="1189"/>
              <w:gridCol w:w="723"/>
              <w:gridCol w:w="709"/>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noWrap w:val="0"/>
                  <w:vAlign w:val="center"/>
                </w:tcPr>
                <w:p>
                  <w:pPr>
                    <w:adjustRightInd w:val="0"/>
                    <w:snapToGrid w:val="0"/>
                    <w:jc w:val="center"/>
                    <w:rPr>
                      <w:spacing w:val="-2"/>
                      <w:szCs w:val="21"/>
                    </w:rPr>
                  </w:pPr>
                  <w:r>
                    <w:rPr>
                      <w:spacing w:val="-2"/>
                      <w:szCs w:val="21"/>
                    </w:rPr>
                    <w:t>排放口编号</w:t>
                  </w:r>
                </w:p>
              </w:tc>
              <w:tc>
                <w:tcPr>
                  <w:tcW w:w="709" w:type="dxa"/>
                  <w:noWrap w:val="0"/>
                  <w:vAlign w:val="center"/>
                </w:tcPr>
                <w:p>
                  <w:pPr>
                    <w:adjustRightInd w:val="0"/>
                    <w:snapToGrid w:val="0"/>
                    <w:jc w:val="center"/>
                    <w:rPr>
                      <w:spacing w:val="-2"/>
                      <w:szCs w:val="21"/>
                    </w:rPr>
                  </w:pPr>
                  <w:r>
                    <w:rPr>
                      <w:spacing w:val="-2"/>
                      <w:szCs w:val="21"/>
                    </w:rPr>
                    <w:t>排放口名称</w:t>
                  </w:r>
                </w:p>
              </w:tc>
              <w:tc>
                <w:tcPr>
                  <w:tcW w:w="709" w:type="dxa"/>
                  <w:noWrap w:val="0"/>
                  <w:vAlign w:val="center"/>
                </w:tcPr>
                <w:p>
                  <w:pPr>
                    <w:adjustRightInd w:val="0"/>
                    <w:snapToGrid w:val="0"/>
                    <w:jc w:val="center"/>
                    <w:rPr>
                      <w:spacing w:val="-2"/>
                      <w:szCs w:val="21"/>
                    </w:rPr>
                  </w:pPr>
                  <w:r>
                    <w:rPr>
                      <w:spacing w:val="-2"/>
                      <w:szCs w:val="21"/>
                    </w:rPr>
                    <w:t>污染物种类</w:t>
                  </w:r>
                </w:p>
              </w:tc>
              <w:tc>
                <w:tcPr>
                  <w:tcW w:w="923" w:type="dxa"/>
                  <w:noWrap w:val="0"/>
                  <w:vAlign w:val="center"/>
                </w:tcPr>
                <w:p>
                  <w:pPr>
                    <w:adjustRightInd w:val="0"/>
                    <w:snapToGrid w:val="0"/>
                    <w:jc w:val="center"/>
                    <w:rPr>
                      <w:spacing w:val="-2"/>
                      <w:szCs w:val="21"/>
                    </w:rPr>
                  </w:pPr>
                  <w:r>
                    <w:rPr>
                      <w:spacing w:val="-2"/>
                      <w:szCs w:val="21"/>
                    </w:rPr>
                    <w:t>排放口类型</w:t>
                  </w:r>
                </w:p>
              </w:tc>
              <w:tc>
                <w:tcPr>
                  <w:tcW w:w="1189" w:type="dxa"/>
                  <w:noWrap w:val="0"/>
                  <w:vAlign w:val="center"/>
                </w:tcPr>
                <w:p>
                  <w:pPr>
                    <w:adjustRightInd w:val="0"/>
                    <w:snapToGrid w:val="0"/>
                    <w:jc w:val="center"/>
                    <w:rPr>
                      <w:spacing w:val="-2"/>
                      <w:szCs w:val="21"/>
                    </w:rPr>
                  </w:pPr>
                  <w:r>
                    <w:rPr>
                      <w:spacing w:val="-2"/>
                      <w:szCs w:val="21"/>
                    </w:rPr>
                    <w:t>排放口地理位置</w:t>
                  </w:r>
                </w:p>
              </w:tc>
              <w:tc>
                <w:tcPr>
                  <w:tcW w:w="723" w:type="dxa"/>
                  <w:noWrap w:val="0"/>
                  <w:vAlign w:val="center"/>
                </w:tcPr>
                <w:p>
                  <w:pPr>
                    <w:adjustRightInd w:val="0"/>
                    <w:snapToGrid w:val="0"/>
                    <w:jc w:val="center"/>
                    <w:rPr>
                      <w:spacing w:val="-2"/>
                      <w:szCs w:val="21"/>
                    </w:rPr>
                  </w:pPr>
                  <w:r>
                    <w:rPr>
                      <w:spacing w:val="-2"/>
                      <w:szCs w:val="21"/>
                    </w:rPr>
                    <w:t>排放规律</w:t>
                  </w:r>
                </w:p>
              </w:tc>
              <w:tc>
                <w:tcPr>
                  <w:tcW w:w="709" w:type="dxa"/>
                  <w:noWrap w:val="0"/>
                  <w:vAlign w:val="center"/>
                </w:tcPr>
                <w:p>
                  <w:pPr>
                    <w:adjustRightInd w:val="0"/>
                    <w:snapToGrid w:val="0"/>
                    <w:jc w:val="center"/>
                    <w:rPr>
                      <w:spacing w:val="-2"/>
                      <w:szCs w:val="21"/>
                    </w:rPr>
                  </w:pPr>
                  <w:r>
                    <w:rPr>
                      <w:spacing w:val="-2"/>
                      <w:szCs w:val="21"/>
                    </w:rPr>
                    <w:t>排放方式</w:t>
                  </w:r>
                </w:p>
              </w:tc>
              <w:tc>
                <w:tcPr>
                  <w:tcW w:w="2242" w:type="dxa"/>
                  <w:noWrap w:val="0"/>
                  <w:vAlign w:val="center"/>
                </w:tcPr>
                <w:p>
                  <w:pPr>
                    <w:adjustRightInd w:val="0"/>
                    <w:snapToGrid w:val="0"/>
                    <w:jc w:val="center"/>
                    <w:rPr>
                      <w:spacing w:val="-2"/>
                      <w:szCs w:val="21"/>
                    </w:rPr>
                  </w:pPr>
                  <w:r>
                    <w:rPr>
                      <w:spacing w:val="-2"/>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32" w:type="dxa"/>
                  <w:noWrap w:val="0"/>
                  <w:vAlign w:val="center"/>
                </w:tcPr>
                <w:p>
                  <w:pPr>
                    <w:adjustRightInd w:val="0"/>
                    <w:snapToGrid w:val="0"/>
                    <w:jc w:val="center"/>
                    <w:rPr>
                      <w:spacing w:val="-2"/>
                      <w:szCs w:val="21"/>
                    </w:rPr>
                  </w:pPr>
                  <w:r>
                    <w:rPr>
                      <w:spacing w:val="-2"/>
                      <w:szCs w:val="21"/>
                    </w:rPr>
                    <w:t>DW001</w:t>
                  </w:r>
                </w:p>
              </w:tc>
              <w:tc>
                <w:tcPr>
                  <w:tcW w:w="709" w:type="dxa"/>
                  <w:noWrap w:val="0"/>
                  <w:vAlign w:val="center"/>
                </w:tcPr>
                <w:p>
                  <w:pPr>
                    <w:adjustRightInd w:val="0"/>
                    <w:snapToGrid w:val="0"/>
                    <w:jc w:val="center"/>
                    <w:rPr>
                      <w:spacing w:val="-2"/>
                      <w:szCs w:val="21"/>
                    </w:rPr>
                  </w:pPr>
                  <w:r>
                    <w:rPr>
                      <w:rFonts w:hint="eastAsia"/>
                      <w:spacing w:val="-2"/>
                      <w:szCs w:val="21"/>
                    </w:rPr>
                    <w:t>化粪池出口</w:t>
                  </w:r>
                </w:p>
              </w:tc>
              <w:tc>
                <w:tcPr>
                  <w:tcW w:w="709" w:type="dxa"/>
                  <w:noWrap w:val="0"/>
                  <w:vAlign w:val="center"/>
                </w:tcPr>
                <w:p>
                  <w:pPr>
                    <w:adjustRightInd w:val="0"/>
                    <w:snapToGrid w:val="0"/>
                    <w:jc w:val="center"/>
                    <w:rPr>
                      <w:spacing w:val="-2"/>
                      <w:szCs w:val="21"/>
                    </w:rPr>
                  </w:pPr>
                  <w:r>
                    <w:rPr>
                      <w:rFonts w:hint="eastAsia"/>
                      <w:spacing w:val="-2"/>
                      <w:szCs w:val="21"/>
                    </w:rPr>
                    <w:t>C</w:t>
                  </w:r>
                  <w:r>
                    <w:rPr>
                      <w:spacing w:val="-2"/>
                      <w:szCs w:val="21"/>
                    </w:rPr>
                    <w:t>OD</w:t>
                  </w:r>
                  <w:r>
                    <w:rPr>
                      <w:rFonts w:hint="eastAsia"/>
                      <w:spacing w:val="-2"/>
                      <w:szCs w:val="21"/>
                    </w:rPr>
                    <w:t>、</w:t>
                  </w:r>
                  <w:r>
                    <w:rPr>
                      <w:spacing w:val="-2"/>
                      <w:szCs w:val="21"/>
                    </w:rPr>
                    <w:t>氨氮</w:t>
                  </w:r>
                </w:p>
              </w:tc>
              <w:tc>
                <w:tcPr>
                  <w:tcW w:w="923" w:type="dxa"/>
                  <w:noWrap w:val="0"/>
                  <w:vAlign w:val="center"/>
                </w:tcPr>
                <w:p>
                  <w:pPr>
                    <w:adjustRightInd w:val="0"/>
                    <w:snapToGrid w:val="0"/>
                    <w:jc w:val="center"/>
                    <w:rPr>
                      <w:spacing w:val="-2"/>
                      <w:szCs w:val="21"/>
                    </w:rPr>
                  </w:pPr>
                  <w:r>
                    <w:rPr>
                      <w:spacing w:val="-2"/>
                      <w:szCs w:val="21"/>
                    </w:rPr>
                    <w:t>一般排放口</w:t>
                  </w:r>
                </w:p>
              </w:tc>
              <w:tc>
                <w:tcPr>
                  <w:tcW w:w="1189" w:type="dxa"/>
                  <w:noWrap w:val="0"/>
                  <w:vAlign w:val="center"/>
                </w:tcPr>
                <w:p>
                  <w:pPr>
                    <w:adjustRightInd w:val="0"/>
                    <w:snapToGrid w:val="0"/>
                    <w:jc w:val="center"/>
                    <w:rPr>
                      <w:spacing w:val="-2"/>
                      <w:szCs w:val="21"/>
                    </w:rPr>
                  </w:pPr>
                  <w:r>
                    <w:rPr>
                      <w:spacing w:val="-2"/>
                      <w:szCs w:val="21"/>
                    </w:rPr>
                    <w:t>E</w:t>
                  </w:r>
                  <w:r>
                    <w:rPr>
                      <w:rFonts w:hint="eastAsia"/>
                      <w:spacing w:val="-2"/>
                      <w:szCs w:val="21"/>
                      <w:lang w:eastAsia="zh-CN"/>
                    </w:rPr>
                    <w:t>114.0073</w:t>
                  </w:r>
                  <w:r>
                    <w:rPr>
                      <w:rFonts w:hint="eastAsia"/>
                      <w:spacing w:val="-2"/>
                      <w:szCs w:val="21"/>
                      <w:lang w:val="en-US" w:eastAsia="zh-CN"/>
                    </w:rPr>
                    <w:t>15</w:t>
                  </w:r>
                  <w:r>
                    <w:rPr>
                      <w:spacing w:val="-2"/>
                      <w:szCs w:val="21"/>
                    </w:rPr>
                    <w:t>°</w:t>
                  </w:r>
                </w:p>
                <w:p>
                  <w:pPr>
                    <w:adjustRightInd w:val="0"/>
                    <w:snapToGrid w:val="0"/>
                    <w:jc w:val="center"/>
                    <w:rPr>
                      <w:spacing w:val="-2"/>
                      <w:szCs w:val="21"/>
                    </w:rPr>
                  </w:pPr>
                  <w:r>
                    <w:rPr>
                      <w:spacing w:val="-2"/>
                      <w:szCs w:val="21"/>
                    </w:rPr>
                    <w:t>N</w:t>
                  </w:r>
                  <w:r>
                    <w:rPr>
                      <w:rFonts w:hint="eastAsia"/>
                      <w:spacing w:val="-2"/>
                      <w:szCs w:val="21"/>
                      <w:lang w:eastAsia="zh-CN"/>
                    </w:rPr>
                    <w:t>33.6428</w:t>
                  </w:r>
                  <w:r>
                    <w:rPr>
                      <w:rFonts w:hint="eastAsia"/>
                      <w:spacing w:val="-2"/>
                      <w:szCs w:val="21"/>
                      <w:lang w:val="en-US" w:eastAsia="zh-CN"/>
                    </w:rPr>
                    <w:t>38</w:t>
                  </w:r>
                  <w:r>
                    <w:rPr>
                      <w:spacing w:val="-2"/>
                      <w:szCs w:val="21"/>
                    </w:rPr>
                    <w:t>°</w:t>
                  </w:r>
                </w:p>
              </w:tc>
              <w:tc>
                <w:tcPr>
                  <w:tcW w:w="723" w:type="dxa"/>
                  <w:noWrap w:val="0"/>
                  <w:vAlign w:val="center"/>
                </w:tcPr>
                <w:p>
                  <w:pPr>
                    <w:adjustRightInd w:val="0"/>
                    <w:snapToGrid w:val="0"/>
                    <w:jc w:val="center"/>
                    <w:rPr>
                      <w:spacing w:val="-2"/>
                      <w:szCs w:val="21"/>
                    </w:rPr>
                  </w:pPr>
                  <w:r>
                    <w:rPr>
                      <w:spacing w:val="-2"/>
                      <w:szCs w:val="21"/>
                    </w:rPr>
                    <w:t>间歇</w:t>
                  </w:r>
                </w:p>
              </w:tc>
              <w:tc>
                <w:tcPr>
                  <w:tcW w:w="709" w:type="dxa"/>
                  <w:noWrap w:val="0"/>
                  <w:vAlign w:val="center"/>
                </w:tcPr>
                <w:p>
                  <w:pPr>
                    <w:adjustRightInd w:val="0"/>
                    <w:snapToGrid w:val="0"/>
                    <w:jc w:val="center"/>
                    <w:rPr>
                      <w:spacing w:val="-2"/>
                      <w:szCs w:val="21"/>
                    </w:rPr>
                  </w:pPr>
                  <w:r>
                    <w:rPr>
                      <w:spacing w:val="-2"/>
                      <w:szCs w:val="21"/>
                    </w:rPr>
                    <w:t>间接</w:t>
                  </w:r>
                </w:p>
              </w:tc>
              <w:tc>
                <w:tcPr>
                  <w:tcW w:w="2242" w:type="dxa"/>
                  <w:noWrap w:val="0"/>
                  <w:vAlign w:val="center"/>
                </w:tcPr>
                <w:p>
                  <w:pPr>
                    <w:adjustRightInd w:val="0"/>
                    <w:snapToGrid w:val="0"/>
                    <w:jc w:val="center"/>
                    <w:rPr>
                      <w:rFonts w:hint="eastAsia"/>
                      <w:spacing w:val="-2"/>
                      <w:szCs w:val="21"/>
                    </w:rPr>
                  </w:pPr>
                  <w:r>
                    <w:rPr>
                      <w:rFonts w:hint="eastAsia"/>
                      <w:spacing w:val="-2"/>
                      <w:szCs w:val="21"/>
                    </w:rPr>
                    <w:t>《污水综合排放标准》（GB8978-1996）表4二级</w:t>
                  </w:r>
                </w:p>
              </w:tc>
            </w:tr>
          </w:tbl>
          <w:p>
            <w:pPr>
              <w:adjustRightInd w:val="0"/>
              <w:snapToGrid w:val="0"/>
              <w:ind w:firstLine="472" w:firstLineChars="200"/>
              <w:jc w:val="center"/>
              <w:rPr>
                <w:rFonts w:hint="default" w:eastAsia="黑体"/>
                <w:spacing w:val="-2"/>
                <w:sz w:val="24"/>
                <w:lang w:eastAsia="zh-CN"/>
              </w:rPr>
            </w:pPr>
            <w:r>
              <w:rPr>
                <w:rFonts w:hint="default" w:eastAsia="黑体"/>
                <w:spacing w:val="-2"/>
                <w:sz w:val="24"/>
                <w:lang w:eastAsia="zh-CN"/>
              </w:rPr>
              <w:t>表</w:t>
            </w:r>
            <w:r>
              <w:rPr>
                <w:rFonts w:hint="eastAsia" w:eastAsia="黑体"/>
                <w:spacing w:val="-2"/>
                <w:sz w:val="24"/>
                <w:lang w:val="en-US" w:eastAsia="zh-CN"/>
              </w:rPr>
              <w:t>4</w:t>
            </w:r>
            <w:r>
              <w:rPr>
                <w:rFonts w:hint="default" w:eastAsia="黑体"/>
                <w:spacing w:val="-2"/>
                <w:sz w:val="24"/>
                <w:lang w:val="en-US" w:eastAsia="zh-CN"/>
              </w:rPr>
              <w:t>-</w:t>
            </w:r>
            <w:r>
              <w:rPr>
                <w:rFonts w:hint="eastAsia" w:eastAsia="黑体"/>
                <w:spacing w:val="-2"/>
                <w:sz w:val="24"/>
                <w:lang w:val="en-US" w:eastAsia="zh-CN"/>
              </w:rPr>
              <w:t>9</w:t>
            </w:r>
            <w:r>
              <w:rPr>
                <w:rFonts w:hint="default" w:eastAsia="黑体"/>
                <w:spacing w:val="-2"/>
                <w:sz w:val="24"/>
                <w:lang w:val="en-US" w:eastAsia="zh-CN"/>
              </w:rPr>
              <w:t xml:space="preserve">      </w:t>
            </w:r>
            <w:r>
              <w:rPr>
                <w:rFonts w:hint="eastAsia" w:eastAsia="黑体"/>
                <w:spacing w:val="-2"/>
                <w:sz w:val="24"/>
                <w:lang w:val="en-US" w:eastAsia="zh-CN"/>
              </w:rPr>
              <w:t xml:space="preserve">         水污染物</w:t>
            </w:r>
            <w:r>
              <w:rPr>
                <w:rFonts w:hint="eastAsia" w:eastAsia="黑体"/>
                <w:spacing w:val="-2"/>
                <w:sz w:val="24"/>
                <w:lang w:eastAsia="zh-CN"/>
              </w:rPr>
              <w:t>监测要求</w:t>
            </w:r>
          </w:p>
          <w:tbl>
            <w:tblPr>
              <w:tblStyle w:val="20"/>
              <w:tblW w:w="7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021"/>
              <w:gridCol w:w="984"/>
              <w:gridCol w:w="1232"/>
              <w:gridCol w:w="1159"/>
              <w:gridCol w:w="102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default" w:ascii="Times New Roman" w:hAnsi="Times New Roman" w:eastAsia="宋体" w:cs="Times New Roman"/>
                      <w:b w:val="0"/>
                      <w:bCs/>
                      <w:color w:val="auto"/>
                      <w:szCs w:val="21"/>
                      <w:lang w:eastAsia="zh-CN"/>
                    </w:rPr>
                  </w:pPr>
                  <w:r>
                    <w:rPr>
                      <w:rFonts w:hint="eastAsia" w:ascii="Times New Roman" w:hAnsi="Times New Roman" w:eastAsia="宋体" w:cs="Times New Roman"/>
                      <w:b w:val="0"/>
                      <w:bCs/>
                      <w:color w:val="auto"/>
                      <w:szCs w:val="21"/>
                      <w:lang w:val="en-US" w:eastAsia="zh-CN"/>
                    </w:rPr>
                    <w:t>废水量</w:t>
                  </w: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default" w:ascii="Times New Roman" w:hAnsi="Times New Roman" w:eastAsia="宋体" w:cs="Times New Roman"/>
                      <w:b w:val="0"/>
                      <w:bCs/>
                      <w:color w:val="auto"/>
                      <w:szCs w:val="21"/>
                      <w:lang w:eastAsia="zh-CN"/>
                    </w:rPr>
                  </w:pPr>
                  <w:r>
                    <w:rPr>
                      <w:rFonts w:hint="default" w:ascii="Times New Roman" w:hAnsi="Times New Roman" w:eastAsia="宋体" w:cs="Times New Roman"/>
                      <w:b w:val="0"/>
                      <w:bCs/>
                      <w:color w:val="auto"/>
                      <w:szCs w:val="21"/>
                      <w:lang w:val="en-US" w:eastAsia="zh-CN"/>
                    </w:rPr>
                    <w:t>污染物</w:t>
                  </w: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default" w:ascii="Times New Roman" w:hAnsi="Times New Roman" w:eastAsia="宋体" w:cs="Times New Roman"/>
                      <w:b w:val="0"/>
                      <w:bCs/>
                      <w:color w:val="auto"/>
                      <w:szCs w:val="21"/>
                      <w:lang w:eastAsia="zh-CN"/>
                    </w:rPr>
                  </w:pPr>
                  <w:r>
                    <w:rPr>
                      <w:rFonts w:hint="default" w:ascii="Times New Roman" w:hAnsi="Times New Roman" w:eastAsia="宋体" w:cs="Times New Roman"/>
                      <w:b w:val="0"/>
                      <w:bCs/>
                      <w:color w:val="auto"/>
                      <w:szCs w:val="21"/>
                      <w:lang w:eastAsia="zh-CN"/>
                    </w:rPr>
                    <w:t>排放</w:t>
                  </w:r>
                  <w:r>
                    <w:rPr>
                      <w:rFonts w:hint="eastAsia" w:ascii="Times New Roman" w:hAnsi="Times New Roman" w:eastAsia="宋体" w:cs="Times New Roman"/>
                      <w:b w:val="0"/>
                      <w:bCs/>
                      <w:color w:val="auto"/>
                      <w:szCs w:val="21"/>
                      <w:lang w:eastAsia="zh-CN"/>
                    </w:rPr>
                    <w:t>浓度</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default" w:ascii="Times New Roman" w:hAnsi="Times New Roman" w:eastAsia="宋体" w:cs="Times New Roman"/>
                      <w:b w:val="0"/>
                      <w:bCs/>
                      <w:color w:val="auto"/>
                      <w:szCs w:val="21"/>
                      <w:lang w:eastAsia="zh-CN"/>
                    </w:rPr>
                  </w:pPr>
                  <w:r>
                    <w:rPr>
                      <w:rFonts w:hint="default" w:ascii="Times New Roman" w:hAnsi="Times New Roman" w:eastAsia="宋体" w:cs="Times New Roman"/>
                      <w:b w:val="0"/>
                      <w:bCs/>
                      <w:color w:val="auto"/>
                      <w:szCs w:val="21"/>
                      <w:lang w:eastAsia="zh-CN"/>
                    </w:rPr>
                    <w:t>排放量</w:t>
                  </w:r>
                </w:p>
              </w:tc>
              <w:tc>
                <w:tcPr>
                  <w:tcW w:w="11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eastAsia" w:ascii="Times New Roman" w:hAnsi="Times New Roman" w:eastAsia="宋体" w:cs="Times New Roman"/>
                      <w:b w:val="0"/>
                      <w:bCs/>
                      <w:color w:val="auto"/>
                      <w:szCs w:val="21"/>
                      <w:lang w:eastAsia="zh-CN"/>
                    </w:rPr>
                  </w:pPr>
                  <w:r>
                    <w:rPr>
                      <w:rFonts w:hint="eastAsia" w:ascii="Times New Roman" w:hAnsi="Times New Roman" w:eastAsia="宋体" w:cs="Times New Roman"/>
                      <w:b w:val="0"/>
                      <w:bCs/>
                      <w:color w:val="auto"/>
                      <w:szCs w:val="21"/>
                      <w:lang w:eastAsia="zh-CN"/>
                    </w:rPr>
                    <w:t>监测点位</w:t>
                  </w: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default" w:ascii="Times New Roman" w:hAnsi="Times New Roman" w:eastAsia="宋体" w:cs="Times New Roman"/>
                      <w:b w:val="0"/>
                      <w:bCs/>
                      <w:color w:val="auto"/>
                      <w:szCs w:val="21"/>
                      <w:lang w:eastAsia="zh-CN"/>
                    </w:rPr>
                  </w:pPr>
                  <w:r>
                    <w:rPr>
                      <w:rFonts w:hint="eastAsia" w:ascii="Times New Roman" w:hAnsi="Times New Roman" w:eastAsia="宋体" w:cs="Times New Roman"/>
                      <w:b w:val="0"/>
                      <w:bCs/>
                      <w:color w:val="auto"/>
                      <w:szCs w:val="21"/>
                      <w:lang w:eastAsia="zh-CN"/>
                    </w:rPr>
                    <w:t>监测频次</w:t>
                  </w:r>
                </w:p>
              </w:tc>
              <w:tc>
                <w:tcPr>
                  <w:tcW w:w="16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tLeast"/>
                    <w:ind w:left="0" w:leftChars="0" w:right="0" w:rightChars="0" w:firstLine="0" w:firstLineChars="0"/>
                    <w:jc w:val="center"/>
                    <w:textAlignment w:val="auto"/>
                    <w:outlineLvl w:val="9"/>
                    <w:rPr>
                      <w:rFonts w:hint="eastAsia" w:ascii="Times New Roman" w:hAnsi="Times New Roman" w:eastAsia="宋体" w:cs="Times New Roman"/>
                      <w:b w:val="0"/>
                      <w:bCs/>
                      <w:color w:val="auto"/>
                      <w:szCs w:val="21"/>
                      <w:lang w:eastAsia="zh-CN"/>
                    </w:rPr>
                  </w:pPr>
                  <w:r>
                    <w:rPr>
                      <w:rFonts w:hint="eastAsia" w:ascii="Times New Roman" w:hAnsi="Times New Roman" w:eastAsia="宋体" w:cs="Times New Roman"/>
                      <w:b w:val="0"/>
                      <w:bCs/>
                      <w:color w:val="auto"/>
                      <w:szCs w:val="21"/>
                      <w:lang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70" w:type="dxa"/>
                  <w:vMerge w:val="restart"/>
                  <w:noWrap w:val="0"/>
                  <w:vAlign w:val="center"/>
                </w:tcPr>
                <w:p>
                  <w:pPr>
                    <w:pageBreakBefore w:val="0"/>
                    <w:kinsoku/>
                    <w:wordWrap/>
                    <w:bidi w:val="0"/>
                    <w:spacing w:line="360" w:lineRule="atLeast"/>
                    <w:ind w:left="-105" w:leftChars="-50" w:right="-105" w:rightChars="-5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szCs w:val="21"/>
                      <w:lang w:val="en-US" w:eastAsia="zh-CN"/>
                    </w:rPr>
                    <w:t>581t/a</w:t>
                  </w: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sz w:val="21"/>
                      <w:szCs w:val="21"/>
                      <w:lang w:val="en-US" w:eastAsia="zh-CN"/>
                    </w:rPr>
                    <w:t>COD</w:t>
                  </w: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150mg/L</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szCs w:val="21"/>
                      <w:lang w:val="en-US" w:eastAsia="zh-CN"/>
                    </w:rPr>
                    <w:t>0.0432</w:t>
                  </w:r>
                  <w:r>
                    <w:rPr>
                      <w:rFonts w:hint="eastAsia" w:ascii="Times New Roman" w:hAnsi="Times New Roman" w:eastAsia="宋体" w:cs="Times New Roman"/>
                      <w:b w:val="0"/>
                      <w:bCs/>
                      <w:color w:val="auto"/>
                      <w:sz w:val="21"/>
                      <w:szCs w:val="21"/>
                      <w:lang w:val="en-US" w:eastAsia="zh-CN"/>
                    </w:rPr>
                    <w:t>t/a</w:t>
                  </w:r>
                </w:p>
              </w:tc>
              <w:tc>
                <w:tcPr>
                  <w:tcW w:w="1159" w:type="dxa"/>
                  <w:vMerge w:val="restart"/>
                  <w:noWrap w:val="0"/>
                  <w:vAlign w:val="center"/>
                </w:tcPr>
                <w:p>
                  <w:pPr>
                    <w:pageBreakBefore w:val="0"/>
                    <w:kinsoku/>
                    <w:wordWrap/>
                    <w:bidi w:val="0"/>
                    <w:spacing w:line="360" w:lineRule="atLeast"/>
                    <w:ind w:left="-105" w:leftChars="-50" w:right="-105" w:rightChars="-5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szCs w:val="21"/>
                      <w:lang w:val="en-US" w:eastAsia="zh-CN"/>
                    </w:rPr>
                    <w:t>化粪池出口</w:t>
                  </w:r>
                </w:p>
              </w:tc>
              <w:tc>
                <w:tcPr>
                  <w:tcW w:w="1021" w:type="dxa"/>
                  <w:vMerge w:val="restart"/>
                  <w:noWrap w:val="0"/>
                  <w:vAlign w:val="center"/>
                </w:tcPr>
                <w:p>
                  <w:pPr>
                    <w:pageBreakBefore w:val="0"/>
                    <w:kinsoku/>
                    <w:wordWrap/>
                    <w:bidi w:val="0"/>
                    <w:spacing w:line="360" w:lineRule="atLeast"/>
                    <w:ind w:left="-105" w:leftChars="-50" w:right="-105" w:rightChars="-5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建议每年1次</w:t>
                  </w:r>
                </w:p>
              </w:tc>
              <w:tc>
                <w:tcPr>
                  <w:tcW w:w="1611" w:type="dxa"/>
                  <w:vMerge w:val="restart"/>
                  <w:noWrap w:val="0"/>
                  <w:vAlign w:val="center"/>
                </w:tcPr>
                <w:p>
                  <w:pPr>
                    <w:pageBreakBefore w:val="0"/>
                    <w:kinsoku/>
                    <w:wordWrap/>
                    <w:bidi w:val="0"/>
                    <w:spacing w:line="360" w:lineRule="atLeast"/>
                    <w:ind w:left="-105" w:leftChars="-50" w:right="-105" w:rightChars="-5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《污水综合排放标准》（GB8978-1996）表4</w:t>
                  </w:r>
                  <w:r>
                    <w:rPr>
                      <w:rFonts w:hint="eastAsia" w:ascii="Times New Roman" w:hAnsi="Times New Roman" w:eastAsia="宋体" w:cs="Times New Roman"/>
                      <w:color w:val="auto"/>
                      <w:sz w:val="21"/>
                      <w:szCs w:val="21"/>
                      <w:lang w:val="en-US" w:eastAsia="zh-CN"/>
                    </w:rPr>
                    <w:t>二</w:t>
                  </w:r>
                  <w:r>
                    <w:rPr>
                      <w:rFonts w:hint="default" w:ascii="Times New Roman" w:hAnsi="Times New Roman" w:eastAsia="宋体" w:cs="Times New Roman"/>
                      <w:color w:val="auto"/>
                      <w:sz w:val="21"/>
                      <w:szCs w:val="21"/>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70" w:type="dxa"/>
                  <w:vMerge w:val="continue"/>
                  <w:noWrap w:val="0"/>
                  <w:vAlign w:val="center"/>
                </w:tcPr>
                <w:p>
                  <w:pPr>
                    <w:pageBreakBefore w:val="0"/>
                    <w:kinsoku/>
                    <w:wordWrap/>
                    <w:bidi w:val="0"/>
                    <w:spacing w:line="360" w:lineRule="atLeast"/>
                    <w:ind w:left="-105" w:leftChars="-50" w:right="-105" w:rightChars="-50"/>
                    <w:jc w:val="center"/>
                    <w:rPr>
                      <w:rFonts w:hint="default" w:ascii="Times New Roman" w:hAnsi="Times New Roman" w:eastAsia="宋体" w:cs="Times New Roman"/>
                      <w:color w:val="auto"/>
                      <w:sz w:val="21"/>
                      <w:szCs w:val="21"/>
                      <w:lang w:val="en-US" w:eastAsia="zh-CN"/>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sz w:val="21"/>
                      <w:szCs w:val="21"/>
                      <w:lang w:val="zh-CN" w:eastAsia="zh-CN"/>
                    </w:rPr>
                    <w:t>氨氮</w:t>
                  </w:r>
                </w:p>
              </w:tc>
              <w:tc>
                <w:tcPr>
                  <w:tcW w:w="9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sz w:val="21"/>
                      <w:szCs w:val="21"/>
                      <w:lang w:val="en-US" w:eastAsia="zh-CN"/>
                    </w:rPr>
                    <w:t>25mg/L</w:t>
                  </w:r>
                </w:p>
              </w:tc>
              <w:tc>
                <w:tcPr>
                  <w:tcW w:w="1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szCs w:val="21"/>
                      <w:lang w:val="en-US" w:eastAsia="zh-CN"/>
                    </w:rPr>
                    <w:t>0.0072</w:t>
                  </w:r>
                  <w:r>
                    <w:rPr>
                      <w:rFonts w:hint="eastAsia" w:ascii="Times New Roman" w:hAnsi="Times New Roman" w:eastAsia="宋体" w:cs="Times New Roman"/>
                      <w:b w:val="0"/>
                      <w:bCs/>
                      <w:color w:val="auto"/>
                      <w:sz w:val="21"/>
                      <w:szCs w:val="21"/>
                      <w:lang w:val="en-US" w:eastAsia="zh-CN"/>
                    </w:rPr>
                    <w:t>t/a</w:t>
                  </w:r>
                </w:p>
              </w:tc>
              <w:tc>
                <w:tcPr>
                  <w:tcW w:w="1159" w:type="dxa"/>
                  <w:vMerge w:val="continue"/>
                  <w:noWrap w:val="0"/>
                  <w:vAlign w:val="center"/>
                </w:tcPr>
                <w:p>
                  <w:pPr>
                    <w:pageBreakBefore w:val="0"/>
                    <w:kinsoku/>
                    <w:wordWrap/>
                    <w:bidi w:val="0"/>
                    <w:spacing w:line="360" w:lineRule="atLeast"/>
                    <w:ind w:left="-105" w:leftChars="-50" w:right="-105" w:rightChars="-50"/>
                    <w:jc w:val="center"/>
                    <w:rPr>
                      <w:rFonts w:hint="eastAsia" w:ascii="Times New Roman" w:hAnsi="Times New Roman" w:eastAsia="宋体" w:cs="Times New Roman"/>
                      <w:color w:val="auto"/>
                      <w:sz w:val="21"/>
                      <w:szCs w:val="21"/>
                      <w:lang w:val="en-US" w:eastAsia="zh-CN"/>
                    </w:rPr>
                  </w:pPr>
                </w:p>
              </w:tc>
              <w:tc>
                <w:tcPr>
                  <w:tcW w:w="1021" w:type="dxa"/>
                  <w:vMerge w:val="continue"/>
                  <w:noWrap w:val="0"/>
                  <w:vAlign w:val="center"/>
                </w:tcPr>
                <w:p>
                  <w:pPr>
                    <w:pageBreakBefore w:val="0"/>
                    <w:kinsoku/>
                    <w:wordWrap/>
                    <w:bidi w:val="0"/>
                    <w:spacing w:line="360" w:lineRule="atLeast"/>
                    <w:ind w:left="-105" w:leftChars="-50" w:right="-105" w:rightChars="-50"/>
                    <w:jc w:val="center"/>
                    <w:rPr>
                      <w:rFonts w:hint="eastAsia" w:ascii="Times New Roman" w:hAnsi="Times New Roman" w:eastAsia="宋体" w:cs="Times New Roman"/>
                      <w:color w:val="auto"/>
                      <w:sz w:val="21"/>
                      <w:szCs w:val="21"/>
                      <w:lang w:val="en-US" w:eastAsia="zh-CN"/>
                    </w:rPr>
                  </w:pPr>
                </w:p>
              </w:tc>
              <w:tc>
                <w:tcPr>
                  <w:tcW w:w="1611" w:type="dxa"/>
                  <w:vMerge w:val="continue"/>
                  <w:noWrap w:val="0"/>
                  <w:vAlign w:val="center"/>
                </w:tcPr>
                <w:p>
                  <w:pPr>
                    <w:pageBreakBefore w:val="0"/>
                    <w:kinsoku/>
                    <w:wordWrap/>
                    <w:bidi w:val="0"/>
                    <w:spacing w:line="360" w:lineRule="atLeast"/>
                    <w:ind w:left="-105" w:leftChars="-50" w:right="-105" w:rightChars="-50"/>
                    <w:jc w:val="center"/>
                    <w:rPr>
                      <w:rFonts w:hint="eastAsia" w:ascii="Times New Roman" w:hAnsi="Times New Roman" w:eastAsia="宋体" w:cs="Times New Roman"/>
                      <w:color w:val="auto"/>
                      <w:sz w:val="21"/>
                      <w:szCs w:val="21"/>
                      <w:lang w:val="en-US" w:eastAsia="zh-CN"/>
                    </w:rPr>
                  </w:pPr>
                </w:p>
              </w:tc>
            </w:tr>
          </w:tbl>
          <w:p>
            <w:pPr>
              <w:numPr>
                <w:ilvl w:val="0"/>
                <w:numId w:val="4"/>
              </w:numPr>
              <w:adjustRightInd w:val="0"/>
              <w:snapToGrid w:val="0"/>
              <w:spacing w:line="520" w:lineRule="exact"/>
              <w:ind w:hanging="357"/>
              <w:rPr>
                <w:rFonts w:hAnsi="宋体"/>
                <w:b/>
                <w:bCs/>
                <w:sz w:val="24"/>
                <w:szCs w:val="22"/>
              </w:rPr>
            </w:pPr>
            <w:r>
              <w:rPr>
                <w:rFonts w:hint="eastAsia" w:hAnsi="宋体"/>
                <w:b/>
                <w:bCs/>
                <w:sz w:val="24"/>
                <w:szCs w:val="22"/>
              </w:rPr>
              <w:t>固废</w:t>
            </w:r>
          </w:p>
          <w:p>
            <w:pPr>
              <w:pStyle w:val="8"/>
              <w:tabs>
                <w:tab w:val="left" w:pos="6090"/>
              </w:tabs>
              <w:spacing w:line="360" w:lineRule="auto"/>
              <w:ind w:firstLine="482" w:firstLineChars="200"/>
              <w:rPr>
                <w:rFonts w:ascii="Times New Roman" w:hAnsi="Times New Roman"/>
                <w:b/>
                <w:color w:val="000000"/>
                <w:sz w:val="24"/>
                <w:szCs w:val="24"/>
              </w:rPr>
            </w:pPr>
            <w:r>
              <w:rPr>
                <w:rFonts w:hint="eastAsia" w:ascii="Times New Roman" w:hAnsi="Times New Roman"/>
                <w:b/>
                <w:color w:val="000000"/>
                <w:sz w:val="24"/>
                <w:szCs w:val="24"/>
              </w:rPr>
              <w:t>（1）固废产生情况</w:t>
            </w:r>
          </w:p>
          <w:p>
            <w:pPr>
              <w:spacing w:line="360" w:lineRule="auto"/>
              <w:ind w:firstLine="480" w:firstLineChars="200"/>
              <w:jc w:val="left"/>
              <w:rPr>
                <w:sz w:val="24"/>
              </w:rPr>
            </w:pPr>
            <w:r>
              <w:rPr>
                <w:rFonts w:hint="eastAsia"/>
                <w:sz w:val="24"/>
              </w:rPr>
              <w:t>本项目</w:t>
            </w:r>
            <w:r>
              <w:rPr>
                <w:sz w:val="24"/>
              </w:rPr>
              <w:t>固废主要为</w:t>
            </w:r>
            <w:r>
              <w:rPr>
                <w:rFonts w:hint="eastAsia"/>
                <w:sz w:val="24"/>
              </w:rPr>
              <w:t>生产车间除尘器除尘灰</w:t>
            </w:r>
            <w:r>
              <w:rPr>
                <w:sz w:val="24"/>
              </w:rPr>
              <w:t>、</w:t>
            </w:r>
            <w:r>
              <w:rPr>
                <w:rFonts w:hint="eastAsia"/>
                <w:sz w:val="24"/>
              </w:rPr>
              <w:t>磁选杂质</w:t>
            </w:r>
            <w:r>
              <w:rPr>
                <w:sz w:val="24"/>
              </w:rPr>
              <w:t>和职工办公生活垃圾</w:t>
            </w:r>
            <w:r>
              <w:rPr>
                <w:rFonts w:hint="eastAsia"/>
                <w:sz w:val="24"/>
              </w:rPr>
              <w:t>。</w:t>
            </w:r>
          </w:p>
          <w:p>
            <w:pPr>
              <w:spacing w:line="360" w:lineRule="auto"/>
              <w:ind w:firstLine="480" w:firstLineChars="200"/>
              <w:jc w:val="left"/>
              <w:rPr>
                <w:color w:val="000000"/>
                <w:sz w:val="24"/>
              </w:rPr>
            </w:pPr>
            <w:r>
              <w:rPr>
                <w:color w:val="000000"/>
                <w:sz w:val="24"/>
              </w:rPr>
              <w:t>①</w:t>
            </w:r>
            <w:r>
              <w:rPr>
                <w:rFonts w:hint="eastAsia"/>
                <w:color w:val="000000"/>
                <w:sz w:val="24"/>
              </w:rPr>
              <w:t>除尘器除尘灰</w:t>
            </w:r>
            <w:r>
              <w:rPr>
                <w:color w:val="000000"/>
                <w:sz w:val="24"/>
              </w:rPr>
              <w:t>：</w:t>
            </w:r>
            <w:r>
              <w:rPr>
                <w:rFonts w:hint="eastAsia"/>
                <w:color w:val="000000"/>
                <w:sz w:val="24"/>
              </w:rPr>
              <w:t>生产车除尘器收尘灰主要包括破碎、磁选工段产生的加工粉尘，该类粉尘经布袋除尘器处理后排放，依据粉尘产生量以及除尘效率，项目生产车间除尘器收集总量约为1.603t/a，除尘灰在固废暂存间暂存后，定期外售综合利用。</w:t>
            </w:r>
          </w:p>
          <w:p>
            <w:pPr>
              <w:pStyle w:val="57"/>
              <w:spacing w:line="360" w:lineRule="auto"/>
              <w:ind w:firstLine="480" w:firstLineChars="200"/>
              <w:rPr>
                <w:sz w:val="24"/>
              </w:rPr>
            </w:pPr>
            <w:r>
              <w:rPr>
                <w:color w:val="000000"/>
                <w:sz w:val="24"/>
              </w:rPr>
              <w:t>②</w:t>
            </w:r>
            <w:r>
              <w:rPr>
                <w:rFonts w:hint="eastAsia"/>
                <w:color w:val="000000"/>
                <w:sz w:val="24"/>
                <w:lang w:val="en-US"/>
              </w:rPr>
              <w:t>磁选杂质</w:t>
            </w:r>
            <w:r>
              <w:rPr>
                <w:color w:val="000000"/>
                <w:sz w:val="24"/>
              </w:rPr>
              <w:t>：</w:t>
            </w:r>
            <w:r>
              <w:rPr>
                <w:rFonts w:hint="eastAsia"/>
                <w:color w:val="000000"/>
                <w:sz w:val="24"/>
                <w:lang w:val="en-US"/>
              </w:rPr>
              <w:t>磁选、破碎工序主要产生塑料等杂质，根据建设单位提供资料，杂质约为破碎量的10％，即500t/a，储存于固废暂存间，外售综合利用</w:t>
            </w:r>
            <w:r>
              <w:rPr>
                <w:sz w:val="24"/>
              </w:rPr>
              <w:t>。</w:t>
            </w:r>
          </w:p>
          <w:p>
            <w:pPr>
              <w:spacing w:line="360" w:lineRule="auto"/>
              <w:ind w:firstLine="480" w:firstLineChars="200"/>
              <w:jc w:val="left"/>
              <w:rPr>
                <w:color w:val="000000"/>
                <w:sz w:val="24"/>
              </w:rPr>
            </w:pPr>
            <w:r>
              <w:rPr>
                <w:color w:val="000000"/>
                <w:sz w:val="24"/>
              </w:rPr>
              <w:t>③职工办公生活垃圾：职工办公生活垃圾按每人每天产生量0.5kg计算，项目新增定员</w:t>
            </w:r>
            <w:r>
              <w:rPr>
                <w:rFonts w:hint="eastAsia"/>
                <w:color w:val="000000"/>
                <w:sz w:val="24"/>
              </w:rPr>
              <w:t>12</w:t>
            </w:r>
            <w:r>
              <w:rPr>
                <w:color w:val="000000"/>
                <w:sz w:val="24"/>
              </w:rPr>
              <w:t>人，年工作时间300天，则职工办公生活垃圾产生量</w:t>
            </w:r>
            <w:r>
              <w:rPr>
                <w:rFonts w:hint="eastAsia"/>
                <w:color w:val="000000"/>
                <w:sz w:val="24"/>
              </w:rPr>
              <w:t>1.8</w:t>
            </w:r>
            <w:r>
              <w:rPr>
                <w:color w:val="000000"/>
                <w:sz w:val="24"/>
              </w:rPr>
              <w:t>t/a，由环卫部门定期清运处理。</w:t>
            </w:r>
          </w:p>
          <w:p>
            <w:pPr>
              <w:pStyle w:val="8"/>
              <w:tabs>
                <w:tab w:val="left" w:pos="6090"/>
              </w:tabs>
              <w:spacing w:line="360" w:lineRule="auto"/>
              <w:ind w:firstLine="482" w:firstLineChars="200"/>
              <w:rPr>
                <w:rFonts w:ascii="Times New Roman" w:hAnsi="Times New Roman"/>
                <w:b/>
                <w:color w:val="000000"/>
                <w:sz w:val="24"/>
                <w:szCs w:val="24"/>
              </w:rPr>
            </w:pPr>
            <w:r>
              <w:rPr>
                <w:rFonts w:hint="eastAsia" w:ascii="Times New Roman" w:hAnsi="Times New Roman"/>
                <w:b/>
                <w:color w:val="000000"/>
                <w:sz w:val="24"/>
                <w:szCs w:val="24"/>
              </w:rPr>
              <w:t>（2）固废处理措施</w:t>
            </w:r>
          </w:p>
          <w:p>
            <w:pPr>
              <w:spacing w:line="360" w:lineRule="auto"/>
              <w:ind w:firstLine="482" w:firstLineChars="200"/>
              <w:jc w:val="left"/>
              <w:rPr>
                <w:color w:val="000000"/>
                <w:sz w:val="24"/>
              </w:rPr>
            </w:pPr>
            <w:r>
              <w:rPr>
                <w:rFonts w:hint="eastAsia"/>
                <w:b/>
                <w:color w:val="000000"/>
                <w:sz w:val="24"/>
              </w:rPr>
              <w:t>一般固废：</w:t>
            </w:r>
            <w:r>
              <w:rPr>
                <w:rFonts w:hint="eastAsia"/>
                <w:color w:val="000000"/>
                <w:sz w:val="24"/>
              </w:rPr>
              <w:t>利用现有</w:t>
            </w:r>
            <w:r>
              <w:rPr>
                <w:color w:val="000000"/>
                <w:sz w:val="24"/>
              </w:rPr>
              <w:t>1座</w:t>
            </w:r>
            <w:r>
              <w:rPr>
                <w:rFonts w:hint="eastAsia"/>
                <w:color w:val="000000"/>
                <w:sz w:val="24"/>
              </w:rPr>
              <w:t>1</w:t>
            </w:r>
            <w:r>
              <w:rPr>
                <w:color w:val="000000"/>
                <w:sz w:val="24"/>
              </w:rPr>
              <w:t>0m</w:t>
            </w:r>
            <w:r>
              <w:rPr>
                <w:color w:val="000000"/>
                <w:sz w:val="24"/>
                <w:vertAlign w:val="superscript"/>
              </w:rPr>
              <w:t>2</w:t>
            </w:r>
            <w:r>
              <w:rPr>
                <w:color w:val="000000"/>
                <w:sz w:val="24"/>
              </w:rPr>
              <w:t>一般固废暂存间，</w:t>
            </w:r>
            <w:r>
              <w:rPr>
                <w:rFonts w:hint="eastAsia"/>
                <w:color w:val="000000"/>
                <w:sz w:val="24"/>
              </w:rPr>
              <w:t>①磁选杂质经收集暂存后</w:t>
            </w:r>
            <w:r>
              <w:rPr>
                <w:color w:val="000000"/>
                <w:sz w:val="24"/>
              </w:rPr>
              <w:t>全部由</w:t>
            </w:r>
            <w:r>
              <w:rPr>
                <w:rFonts w:hint="eastAsia"/>
                <w:color w:val="000000"/>
                <w:sz w:val="24"/>
              </w:rPr>
              <w:t>其他公司</w:t>
            </w:r>
            <w:r>
              <w:rPr>
                <w:color w:val="000000"/>
                <w:sz w:val="24"/>
              </w:rPr>
              <w:t>回收，综合利用</w:t>
            </w:r>
            <w:r>
              <w:rPr>
                <w:rFonts w:hint="eastAsia"/>
                <w:color w:val="000000"/>
                <w:sz w:val="24"/>
              </w:rPr>
              <w:t>，不外排；②除尘器收集的除尘灰定期外售</w:t>
            </w:r>
            <w:r>
              <w:rPr>
                <w:rFonts w:hint="eastAsia"/>
                <w:color w:val="000000"/>
                <w:sz w:val="24"/>
                <w:lang w:eastAsia="zh-CN"/>
              </w:rPr>
              <w:t>，</w:t>
            </w:r>
            <w:r>
              <w:rPr>
                <w:rFonts w:hint="eastAsia"/>
                <w:color w:val="000000"/>
                <w:sz w:val="24"/>
                <w:lang w:val="en-US" w:eastAsia="zh-CN"/>
              </w:rPr>
              <w:t>综合利用</w:t>
            </w:r>
            <w:r>
              <w:rPr>
                <w:rFonts w:hint="eastAsia"/>
                <w:color w:val="000000"/>
                <w:sz w:val="24"/>
              </w:rPr>
              <w:t>。③职工生活垃圾收集后</w:t>
            </w:r>
            <w:r>
              <w:rPr>
                <w:color w:val="000000"/>
                <w:sz w:val="24"/>
              </w:rPr>
              <w:t>由环卫部门定期清运处理。</w:t>
            </w:r>
          </w:p>
          <w:p>
            <w:pPr>
              <w:numPr>
                <w:ilvl w:val="0"/>
                <w:numId w:val="4"/>
              </w:numPr>
              <w:adjustRightInd w:val="0"/>
              <w:snapToGrid w:val="0"/>
              <w:spacing w:line="360" w:lineRule="auto"/>
              <w:ind w:hanging="357"/>
              <w:rPr>
                <w:rFonts w:hAnsi="宋体"/>
                <w:b/>
                <w:bCs/>
                <w:sz w:val="24"/>
                <w:szCs w:val="22"/>
              </w:rPr>
            </w:pPr>
            <w:r>
              <w:rPr>
                <w:rFonts w:hint="eastAsia" w:hAnsi="宋体"/>
                <w:b/>
                <w:bCs/>
                <w:sz w:val="24"/>
                <w:szCs w:val="22"/>
              </w:rPr>
              <w:t>噪声</w:t>
            </w:r>
          </w:p>
          <w:p>
            <w:pPr>
              <w:spacing w:line="360" w:lineRule="auto"/>
              <w:ind w:firstLine="480" w:firstLineChars="200"/>
              <w:rPr>
                <w:bCs/>
                <w:color w:val="000000"/>
                <w:sz w:val="24"/>
              </w:rPr>
            </w:pPr>
            <w:r>
              <w:rPr>
                <w:color w:val="000000"/>
                <w:sz w:val="24"/>
              </w:rPr>
              <w:t>本项目噪声主要为</w:t>
            </w:r>
            <w:r>
              <w:rPr>
                <w:rFonts w:hint="eastAsia"/>
                <w:color w:val="000000"/>
                <w:sz w:val="24"/>
              </w:rPr>
              <w:t>破碎机、磁选机</w:t>
            </w:r>
            <w:r>
              <w:rPr>
                <w:color w:val="000000"/>
                <w:sz w:val="24"/>
              </w:rPr>
              <w:t>等产生的机械噪声，噪声源强约</w:t>
            </w:r>
            <w:r>
              <w:rPr>
                <w:rFonts w:hint="eastAsia"/>
                <w:color w:val="000000"/>
                <w:sz w:val="24"/>
              </w:rPr>
              <w:t>70</w:t>
            </w:r>
            <w:r>
              <w:rPr>
                <w:color w:val="000000"/>
                <w:sz w:val="24"/>
              </w:rPr>
              <w:t>~</w:t>
            </w:r>
            <w:r>
              <w:rPr>
                <w:rFonts w:hint="eastAsia"/>
                <w:color w:val="000000"/>
                <w:sz w:val="24"/>
              </w:rPr>
              <w:t>8</w:t>
            </w:r>
            <w:r>
              <w:rPr>
                <w:color w:val="000000"/>
                <w:sz w:val="24"/>
              </w:rPr>
              <w:t>0dB(A)之间，本项目建成后全厂高噪声设备及噪声源强值见表</w:t>
            </w:r>
            <w:r>
              <w:rPr>
                <w:rFonts w:hint="eastAsia"/>
                <w:color w:val="000000"/>
                <w:sz w:val="24"/>
              </w:rPr>
              <w:t>4-</w:t>
            </w:r>
            <w:r>
              <w:rPr>
                <w:rFonts w:hint="eastAsia"/>
                <w:color w:val="000000"/>
                <w:sz w:val="24"/>
                <w:lang w:val="en-US" w:eastAsia="zh-CN"/>
              </w:rPr>
              <w:t>10</w:t>
            </w:r>
            <w:r>
              <w:rPr>
                <w:bCs/>
                <w:color w:val="000000"/>
                <w:sz w:val="24"/>
              </w:rPr>
              <w:t>。</w:t>
            </w:r>
          </w:p>
          <w:p>
            <w:pPr>
              <w:spacing w:line="360" w:lineRule="auto"/>
              <w:jc w:val="center"/>
              <w:rPr>
                <w:rFonts w:eastAsia="黑体"/>
                <w:color w:val="000000"/>
                <w:sz w:val="24"/>
              </w:rPr>
            </w:pPr>
            <w:r>
              <w:rPr>
                <w:rFonts w:eastAsia="黑体"/>
                <w:color w:val="000000"/>
                <w:sz w:val="24"/>
              </w:rPr>
              <w:t>表</w:t>
            </w:r>
            <w:r>
              <w:rPr>
                <w:rFonts w:hint="eastAsia" w:eastAsia="黑体"/>
                <w:color w:val="000000"/>
                <w:sz w:val="24"/>
              </w:rPr>
              <w:t>4-</w:t>
            </w:r>
            <w:r>
              <w:rPr>
                <w:rFonts w:hint="eastAsia" w:eastAsia="黑体"/>
                <w:color w:val="000000"/>
                <w:sz w:val="24"/>
                <w:lang w:val="en-US" w:eastAsia="zh-CN"/>
              </w:rPr>
              <w:t>10</w:t>
            </w:r>
            <w:r>
              <w:rPr>
                <w:rFonts w:eastAsia="黑体"/>
                <w:color w:val="000000"/>
                <w:sz w:val="24"/>
              </w:rPr>
              <w:t xml:space="preserve">  本项目建成后全厂高噪声设备及噪声源强估算</w:t>
            </w:r>
          </w:p>
          <w:tbl>
            <w:tblPr>
              <w:tblStyle w:val="19"/>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5"/>
              <w:gridCol w:w="1609"/>
              <w:gridCol w:w="1286"/>
              <w:gridCol w:w="1125"/>
              <w:gridCol w:w="1124"/>
              <w:gridCol w:w="18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596" w:type="pct"/>
                  <w:vMerge w:val="restart"/>
                  <w:vAlign w:val="center"/>
                </w:tcPr>
                <w:p>
                  <w:pPr>
                    <w:spacing w:line="360" w:lineRule="exact"/>
                    <w:jc w:val="center"/>
                    <w:rPr>
                      <w:b/>
                      <w:color w:val="000000"/>
                      <w:szCs w:val="21"/>
                    </w:rPr>
                  </w:pPr>
                  <w:r>
                    <w:rPr>
                      <w:b/>
                      <w:color w:val="000000"/>
                      <w:szCs w:val="21"/>
                    </w:rPr>
                    <w:t>噪声源</w:t>
                  </w:r>
                </w:p>
                <w:p>
                  <w:pPr>
                    <w:spacing w:line="360" w:lineRule="exact"/>
                    <w:jc w:val="center"/>
                    <w:rPr>
                      <w:b/>
                      <w:color w:val="000000"/>
                      <w:szCs w:val="21"/>
                    </w:rPr>
                  </w:pPr>
                  <w:r>
                    <w:rPr>
                      <w:b/>
                      <w:color w:val="000000"/>
                      <w:szCs w:val="21"/>
                    </w:rPr>
                    <w:t>位置</w:t>
                  </w:r>
                </w:p>
              </w:tc>
              <w:tc>
                <w:tcPr>
                  <w:tcW w:w="1015" w:type="pct"/>
                  <w:vMerge w:val="restart"/>
                  <w:vAlign w:val="center"/>
                </w:tcPr>
                <w:p>
                  <w:pPr>
                    <w:spacing w:line="360" w:lineRule="exact"/>
                    <w:jc w:val="center"/>
                    <w:rPr>
                      <w:b/>
                      <w:color w:val="000000"/>
                      <w:szCs w:val="21"/>
                    </w:rPr>
                  </w:pPr>
                  <w:r>
                    <w:rPr>
                      <w:b/>
                      <w:color w:val="000000"/>
                      <w:szCs w:val="21"/>
                    </w:rPr>
                    <w:t>噪声源</w:t>
                  </w:r>
                </w:p>
              </w:tc>
              <w:tc>
                <w:tcPr>
                  <w:tcW w:w="811" w:type="pct"/>
                  <w:vMerge w:val="restart"/>
                  <w:vAlign w:val="center"/>
                </w:tcPr>
                <w:p>
                  <w:pPr>
                    <w:spacing w:line="360" w:lineRule="exact"/>
                    <w:jc w:val="center"/>
                    <w:rPr>
                      <w:b/>
                      <w:color w:val="000000"/>
                      <w:szCs w:val="21"/>
                    </w:rPr>
                  </w:pPr>
                  <w:r>
                    <w:rPr>
                      <w:b/>
                      <w:color w:val="000000"/>
                      <w:szCs w:val="21"/>
                    </w:rPr>
                    <w:t>设备数量</w:t>
                  </w:r>
                </w:p>
                <w:p>
                  <w:pPr>
                    <w:spacing w:line="360" w:lineRule="exact"/>
                    <w:jc w:val="center"/>
                    <w:rPr>
                      <w:b/>
                      <w:color w:val="000000"/>
                      <w:szCs w:val="21"/>
                    </w:rPr>
                  </w:pPr>
                  <w:r>
                    <w:rPr>
                      <w:b/>
                      <w:color w:val="000000"/>
                      <w:szCs w:val="21"/>
                    </w:rPr>
                    <w:t>（台、套）</w:t>
                  </w:r>
                </w:p>
              </w:tc>
              <w:tc>
                <w:tcPr>
                  <w:tcW w:w="1419" w:type="pct"/>
                  <w:gridSpan w:val="2"/>
                  <w:vAlign w:val="center"/>
                </w:tcPr>
                <w:p>
                  <w:pPr>
                    <w:spacing w:line="360" w:lineRule="exact"/>
                    <w:jc w:val="center"/>
                    <w:rPr>
                      <w:b/>
                      <w:color w:val="000000"/>
                      <w:szCs w:val="21"/>
                    </w:rPr>
                  </w:pPr>
                  <w:r>
                    <w:rPr>
                      <w:b/>
                      <w:color w:val="000000"/>
                      <w:szCs w:val="21"/>
                    </w:rPr>
                    <w:t>声源值</w:t>
                  </w:r>
                </w:p>
              </w:tc>
              <w:tc>
                <w:tcPr>
                  <w:tcW w:w="1159" w:type="pct"/>
                  <w:vMerge w:val="restart"/>
                  <w:vAlign w:val="center"/>
                </w:tcPr>
                <w:p>
                  <w:pPr>
                    <w:spacing w:line="360" w:lineRule="exact"/>
                    <w:jc w:val="center"/>
                    <w:rPr>
                      <w:b/>
                      <w:color w:val="000000"/>
                      <w:szCs w:val="21"/>
                    </w:rPr>
                  </w:pPr>
                  <w:r>
                    <w:rPr>
                      <w:b/>
                      <w:color w:val="000000"/>
                      <w:szCs w:val="21"/>
                    </w:rPr>
                    <w:t>治理措施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596" w:type="pct"/>
                  <w:vMerge w:val="continue"/>
                  <w:vAlign w:val="center"/>
                </w:tcPr>
                <w:p>
                  <w:pPr>
                    <w:spacing w:line="360" w:lineRule="exact"/>
                    <w:jc w:val="center"/>
                    <w:rPr>
                      <w:b/>
                      <w:color w:val="000000"/>
                      <w:szCs w:val="21"/>
                    </w:rPr>
                  </w:pPr>
                </w:p>
              </w:tc>
              <w:tc>
                <w:tcPr>
                  <w:tcW w:w="1015" w:type="pct"/>
                  <w:vMerge w:val="continue"/>
                  <w:vAlign w:val="center"/>
                </w:tcPr>
                <w:p>
                  <w:pPr>
                    <w:spacing w:line="360" w:lineRule="exact"/>
                    <w:jc w:val="center"/>
                    <w:rPr>
                      <w:b/>
                      <w:color w:val="000000"/>
                      <w:szCs w:val="21"/>
                    </w:rPr>
                  </w:pPr>
                </w:p>
              </w:tc>
              <w:tc>
                <w:tcPr>
                  <w:tcW w:w="811" w:type="pct"/>
                  <w:vMerge w:val="continue"/>
                  <w:vAlign w:val="center"/>
                </w:tcPr>
                <w:p>
                  <w:pPr>
                    <w:spacing w:line="360" w:lineRule="exact"/>
                    <w:jc w:val="center"/>
                    <w:rPr>
                      <w:b/>
                      <w:color w:val="000000"/>
                      <w:szCs w:val="21"/>
                    </w:rPr>
                  </w:pPr>
                </w:p>
              </w:tc>
              <w:tc>
                <w:tcPr>
                  <w:tcW w:w="710" w:type="pct"/>
                  <w:vAlign w:val="center"/>
                </w:tcPr>
                <w:p>
                  <w:pPr>
                    <w:spacing w:line="360" w:lineRule="exact"/>
                    <w:jc w:val="center"/>
                    <w:rPr>
                      <w:b/>
                      <w:color w:val="000000"/>
                      <w:szCs w:val="21"/>
                    </w:rPr>
                  </w:pPr>
                  <w:r>
                    <w:rPr>
                      <w:b/>
                      <w:color w:val="000000"/>
                      <w:szCs w:val="21"/>
                    </w:rPr>
                    <w:t>设备源强</w:t>
                  </w:r>
                </w:p>
              </w:tc>
              <w:tc>
                <w:tcPr>
                  <w:tcW w:w="709" w:type="pct"/>
                  <w:vAlign w:val="center"/>
                </w:tcPr>
                <w:p>
                  <w:pPr>
                    <w:spacing w:line="360" w:lineRule="exact"/>
                    <w:jc w:val="center"/>
                    <w:rPr>
                      <w:b/>
                      <w:color w:val="000000"/>
                      <w:szCs w:val="21"/>
                    </w:rPr>
                  </w:pPr>
                  <w:r>
                    <w:rPr>
                      <w:b/>
                      <w:color w:val="000000"/>
                      <w:szCs w:val="21"/>
                    </w:rPr>
                    <w:t>车间外1m</w:t>
                  </w:r>
                </w:p>
              </w:tc>
              <w:tc>
                <w:tcPr>
                  <w:tcW w:w="1159" w:type="pct"/>
                  <w:vMerge w:val="continue"/>
                  <w:vAlign w:val="center"/>
                </w:tcPr>
                <w:p>
                  <w:pPr>
                    <w:spacing w:line="360" w:lineRule="exact"/>
                    <w:jc w:val="center"/>
                    <w:rPr>
                      <w:b/>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596" w:type="pct"/>
                  <w:vMerge w:val="restart"/>
                  <w:vAlign w:val="center"/>
                </w:tcPr>
                <w:p>
                  <w:pPr>
                    <w:spacing w:line="360" w:lineRule="exact"/>
                    <w:jc w:val="center"/>
                    <w:rPr>
                      <w:color w:val="000000"/>
                      <w:szCs w:val="21"/>
                    </w:rPr>
                  </w:pPr>
                  <w:r>
                    <w:rPr>
                      <w:color w:val="000000"/>
                      <w:szCs w:val="21"/>
                    </w:rPr>
                    <w:t>生产车间</w:t>
                  </w:r>
                </w:p>
              </w:tc>
              <w:tc>
                <w:tcPr>
                  <w:tcW w:w="1015" w:type="pct"/>
                  <w:vAlign w:val="center"/>
                </w:tcPr>
                <w:p>
                  <w:pPr>
                    <w:spacing w:line="360" w:lineRule="exact"/>
                    <w:jc w:val="center"/>
                    <w:rPr>
                      <w:bCs/>
                      <w:color w:val="000000"/>
                      <w:szCs w:val="21"/>
                    </w:rPr>
                  </w:pPr>
                  <w:r>
                    <w:rPr>
                      <w:rFonts w:hint="eastAsia"/>
                      <w:bCs/>
                      <w:color w:val="000000"/>
                      <w:szCs w:val="21"/>
                    </w:rPr>
                    <w:t>破碎机</w:t>
                  </w:r>
                </w:p>
              </w:tc>
              <w:tc>
                <w:tcPr>
                  <w:tcW w:w="811" w:type="pct"/>
                  <w:vAlign w:val="center"/>
                </w:tcPr>
                <w:p>
                  <w:pPr>
                    <w:spacing w:line="360" w:lineRule="exact"/>
                    <w:jc w:val="center"/>
                    <w:rPr>
                      <w:bCs/>
                      <w:color w:val="000000"/>
                      <w:szCs w:val="21"/>
                    </w:rPr>
                  </w:pPr>
                  <w:r>
                    <w:rPr>
                      <w:rFonts w:hint="eastAsia"/>
                      <w:bCs/>
                      <w:color w:val="000000"/>
                      <w:szCs w:val="21"/>
                    </w:rPr>
                    <w:t>1</w:t>
                  </w:r>
                </w:p>
              </w:tc>
              <w:tc>
                <w:tcPr>
                  <w:tcW w:w="710" w:type="pct"/>
                  <w:vAlign w:val="center"/>
                </w:tcPr>
                <w:p>
                  <w:pPr>
                    <w:spacing w:line="360" w:lineRule="exact"/>
                    <w:jc w:val="center"/>
                    <w:rPr>
                      <w:color w:val="000000"/>
                      <w:szCs w:val="21"/>
                    </w:rPr>
                  </w:pPr>
                  <w:r>
                    <w:rPr>
                      <w:rFonts w:hint="eastAsia"/>
                      <w:color w:val="000000"/>
                      <w:szCs w:val="21"/>
                    </w:rPr>
                    <w:t>90</w:t>
                  </w:r>
                </w:p>
              </w:tc>
              <w:tc>
                <w:tcPr>
                  <w:tcW w:w="709" w:type="pct"/>
                  <w:vAlign w:val="center"/>
                </w:tcPr>
                <w:p>
                  <w:pPr>
                    <w:spacing w:line="360" w:lineRule="exact"/>
                    <w:jc w:val="center"/>
                    <w:rPr>
                      <w:color w:val="000000"/>
                      <w:szCs w:val="21"/>
                    </w:rPr>
                  </w:pPr>
                  <w:r>
                    <w:rPr>
                      <w:rFonts w:hint="eastAsia"/>
                      <w:color w:val="000000"/>
                      <w:szCs w:val="21"/>
                    </w:rPr>
                    <w:t>70</w:t>
                  </w:r>
                </w:p>
              </w:tc>
              <w:tc>
                <w:tcPr>
                  <w:tcW w:w="1159" w:type="pct"/>
                  <w:vMerge w:val="restart"/>
                  <w:vAlign w:val="center"/>
                </w:tcPr>
                <w:p>
                  <w:pPr>
                    <w:spacing w:line="360" w:lineRule="exact"/>
                    <w:jc w:val="center"/>
                    <w:rPr>
                      <w:color w:val="000000"/>
                      <w:szCs w:val="21"/>
                    </w:rPr>
                  </w:pPr>
                  <w:r>
                    <w:rPr>
                      <w:color w:val="000000"/>
                      <w:szCs w:val="21"/>
                    </w:rPr>
                    <w:t>厂房隔声、基础减振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5" w:hRule="atLeast"/>
                <w:jc w:val="center"/>
              </w:trPr>
              <w:tc>
                <w:tcPr>
                  <w:tcW w:w="596" w:type="pct"/>
                  <w:vMerge w:val="continue"/>
                  <w:vAlign w:val="center"/>
                </w:tcPr>
                <w:p>
                  <w:pPr>
                    <w:spacing w:line="360" w:lineRule="exact"/>
                    <w:jc w:val="center"/>
                    <w:rPr>
                      <w:color w:val="000000"/>
                      <w:szCs w:val="21"/>
                    </w:rPr>
                  </w:pPr>
                </w:p>
              </w:tc>
              <w:tc>
                <w:tcPr>
                  <w:tcW w:w="1015" w:type="pct"/>
                  <w:vAlign w:val="center"/>
                </w:tcPr>
                <w:p>
                  <w:pPr>
                    <w:spacing w:line="360" w:lineRule="exact"/>
                    <w:jc w:val="center"/>
                    <w:rPr>
                      <w:bCs/>
                      <w:color w:val="000000"/>
                      <w:szCs w:val="21"/>
                    </w:rPr>
                  </w:pPr>
                  <w:r>
                    <w:rPr>
                      <w:rFonts w:hint="eastAsia" w:hAnsi="宋体"/>
                      <w:bCs/>
                      <w:color w:val="000000"/>
                      <w:szCs w:val="21"/>
                    </w:rPr>
                    <w:t>磁选机</w:t>
                  </w:r>
                </w:p>
              </w:tc>
              <w:tc>
                <w:tcPr>
                  <w:tcW w:w="811" w:type="pct"/>
                  <w:vAlign w:val="center"/>
                </w:tcPr>
                <w:p>
                  <w:pPr>
                    <w:spacing w:line="360" w:lineRule="exact"/>
                    <w:jc w:val="center"/>
                    <w:rPr>
                      <w:bCs/>
                      <w:color w:val="000000"/>
                      <w:szCs w:val="21"/>
                    </w:rPr>
                  </w:pPr>
                  <w:r>
                    <w:rPr>
                      <w:rFonts w:hint="eastAsia"/>
                      <w:bCs/>
                      <w:color w:val="000000"/>
                      <w:szCs w:val="21"/>
                    </w:rPr>
                    <w:t>1</w:t>
                  </w:r>
                </w:p>
              </w:tc>
              <w:tc>
                <w:tcPr>
                  <w:tcW w:w="710" w:type="pct"/>
                  <w:vAlign w:val="center"/>
                </w:tcPr>
                <w:p>
                  <w:pPr>
                    <w:spacing w:line="360" w:lineRule="exact"/>
                    <w:jc w:val="center"/>
                    <w:rPr>
                      <w:color w:val="000000"/>
                      <w:szCs w:val="21"/>
                    </w:rPr>
                  </w:pPr>
                  <w:r>
                    <w:rPr>
                      <w:rFonts w:hint="eastAsia"/>
                      <w:color w:val="000000"/>
                      <w:szCs w:val="21"/>
                    </w:rPr>
                    <w:t>8</w:t>
                  </w:r>
                  <w:r>
                    <w:rPr>
                      <w:color w:val="000000"/>
                      <w:szCs w:val="21"/>
                    </w:rPr>
                    <w:t>0</w:t>
                  </w:r>
                </w:p>
              </w:tc>
              <w:tc>
                <w:tcPr>
                  <w:tcW w:w="709" w:type="pct"/>
                  <w:vAlign w:val="center"/>
                </w:tcPr>
                <w:p>
                  <w:pPr>
                    <w:spacing w:line="360" w:lineRule="exact"/>
                    <w:jc w:val="center"/>
                    <w:rPr>
                      <w:color w:val="000000"/>
                      <w:szCs w:val="21"/>
                    </w:rPr>
                  </w:pPr>
                  <w:r>
                    <w:rPr>
                      <w:rFonts w:hint="eastAsia"/>
                      <w:color w:val="000000"/>
                      <w:szCs w:val="21"/>
                    </w:rPr>
                    <w:t>6</w:t>
                  </w:r>
                  <w:r>
                    <w:rPr>
                      <w:color w:val="000000"/>
                      <w:szCs w:val="21"/>
                    </w:rPr>
                    <w:t>0</w:t>
                  </w:r>
                </w:p>
              </w:tc>
              <w:tc>
                <w:tcPr>
                  <w:tcW w:w="1159" w:type="pct"/>
                  <w:vMerge w:val="continue"/>
                  <w:vAlign w:val="center"/>
                </w:tcPr>
                <w:p>
                  <w:pPr>
                    <w:spacing w:line="360" w:lineRule="exact"/>
                    <w:jc w:val="center"/>
                    <w:rPr>
                      <w:color w:val="000000"/>
                      <w:szCs w:val="21"/>
                    </w:rPr>
                  </w:pPr>
                </w:p>
              </w:tc>
            </w:tr>
          </w:tbl>
          <w:p>
            <w:pPr>
              <w:spacing w:line="360" w:lineRule="auto"/>
              <w:ind w:firstLine="480" w:firstLineChars="200"/>
              <w:rPr>
                <w:color w:val="000000"/>
                <w:sz w:val="24"/>
              </w:rPr>
            </w:pPr>
            <w:r>
              <w:rPr>
                <w:color w:val="000000"/>
                <w:sz w:val="24"/>
              </w:rPr>
              <w:t>预测模式采用《环境影响评价技术导则  声环境》（HJ2.4-2009）中推荐的模式。</w:t>
            </w:r>
          </w:p>
          <w:p>
            <w:pPr>
              <w:spacing w:line="360" w:lineRule="auto"/>
              <w:ind w:firstLine="480" w:firstLineChars="200"/>
              <w:rPr>
                <w:bCs/>
                <w:color w:val="000000"/>
                <w:sz w:val="24"/>
              </w:rPr>
            </w:pPr>
            <w:r>
              <w:rPr>
                <w:rFonts w:hint="eastAsia"/>
                <w:bCs/>
                <w:color w:val="000000"/>
                <w:sz w:val="24"/>
              </w:rPr>
              <w:t>（1）</w:t>
            </w:r>
            <w:r>
              <w:rPr>
                <w:bCs/>
                <w:color w:val="000000"/>
                <w:sz w:val="24"/>
              </w:rPr>
              <w:t>预测模式</w:t>
            </w:r>
          </w:p>
          <w:p>
            <w:pPr>
              <w:spacing w:line="360" w:lineRule="auto"/>
              <w:ind w:firstLine="480" w:firstLineChars="200"/>
              <w:rPr>
                <w:bCs/>
                <w:color w:val="000000"/>
                <w:sz w:val="24"/>
              </w:rPr>
            </w:pPr>
            <w:r>
              <w:rPr>
                <w:bCs/>
                <w:color w:val="000000"/>
                <w:sz w:val="24"/>
              </w:rPr>
              <w:t>①无指向性点声源的几何发散衰减公式：</w:t>
            </w:r>
          </w:p>
          <w:p>
            <w:pPr>
              <w:spacing w:line="360" w:lineRule="auto"/>
              <w:ind w:firstLine="480"/>
              <w:rPr>
                <w:bCs/>
                <w:color w:val="000000"/>
                <w:sz w:val="24"/>
              </w:rPr>
            </w:pPr>
            <w:r>
              <w:rPr>
                <w:bCs/>
                <w:color w:val="000000"/>
                <w:position w:val="-12"/>
                <w:sz w:val="24"/>
              </w:rPr>
              <w:object>
                <v:shape id="_x0000_i1025" o:spt="75" type="#_x0000_t75" style="height:18pt;width:138pt;" o:ole="t" filled="f" coordsize="21600,21600">
                  <v:path/>
                  <v:fill on="f" focussize="0,0"/>
                  <v:stroke/>
                  <v:imagedata r:id="rId10" o:title=""/>
                  <o:lock v:ext="edit" aspectratio="t"/>
                  <w10:wrap type="none"/>
                  <w10:anchorlock/>
                </v:shape>
                <o:OLEObject Type="Embed" ProgID="Equation.3" ShapeID="_x0000_i1025" DrawAspect="Content" ObjectID="_1468075725" r:id="rId9">
                  <o:LockedField>false</o:LockedField>
                </o:OLEObject>
              </w:object>
            </w:r>
          </w:p>
          <w:p>
            <w:pPr>
              <w:spacing w:line="360" w:lineRule="auto"/>
              <w:ind w:firstLine="480" w:firstLineChars="200"/>
              <w:rPr>
                <w:bCs/>
                <w:color w:val="000000"/>
                <w:sz w:val="24"/>
              </w:rPr>
            </w:pPr>
            <w:r>
              <w:rPr>
                <w:bCs/>
                <w:color w:val="000000"/>
                <w:sz w:val="24"/>
              </w:rPr>
              <w:t>式中：</w:t>
            </w:r>
            <w:r>
              <w:rPr>
                <w:bCs/>
                <w:i/>
                <w:color w:val="000000"/>
                <w:sz w:val="24"/>
              </w:rPr>
              <w:t>L</w:t>
            </w:r>
            <w:r>
              <w:rPr>
                <w:bCs/>
                <w:i/>
                <w:color w:val="000000"/>
                <w:sz w:val="24"/>
                <w:vertAlign w:val="subscript"/>
              </w:rPr>
              <w:t>P</w:t>
            </w:r>
            <w:r>
              <w:rPr>
                <w:bCs/>
                <w:i/>
                <w:color w:val="000000"/>
                <w:sz w:val="24"/>
              </w:rPr>
              <w:t>(r)</w:t>
            </w:r>
            <w:r>
              <w:rPr>
                <w:bCs/>
                <w:color w:val="000000"/>
                <w:sz w:val="24"/>
              </w:rPr>
              <w:t>——距离噪声源r处的等效A声级值，dB(A)；</w:t>
            </w:r>
          </w:p>
          <w:p>
            <w:pPr>
              <w:spacing w:line="360" w:lineRule="auto"/>
              <w:ind w:firstLine="1200" w:firstLineChars="500"/>
              <w:rPr>
                <w:bCs/>
                <w:color w:val="000000"/>
                <w:sz w:val="24"/>
              </w:rPr>
            </w:pPr>
            <w:r>
              <w:rPr>
                <w:bCs/>
                <w:i/>
                <w:color w:val="000000"/>
                <w:sz w:val="24"/>
              </w:rPr>
              <w:t>L</w:t>
            </w:r>
            <w:r>
              <w:rPr>
                <w:bCs/>
                <w:i/>
                <w:color w:val="000000"/>
                <w:sz w:val="24"/>
                <w:vertAlign w:val="subscript"/>
              </w:rPr>
              <w:t>P</w:t>
            </w:r>
            <w:r>
              <w:rPr>
                <w:bCs/>
                <w:i/>
                <w:color w:val="000000"/>
                <w:sz w:val="24"/>
              </w:rPr>
              <w:t>(r</w:t>
            </w:r>
            <w:r>
              <w:rPr>
                <w:bCs/>
                <w:i/>
                <w:color w:val="000000"/>
                <w:sz w:val="24"/>
                <w:vertAlign w:val="subscript"/>
              </w:rPr>
              <w:t>0</w:t>
            </w:r>
            <w:r>
              <w:rPr>
                <w:bCs/>
                <w:i/>
                <w:color w:val="000000"/>
                <w:sz w:val="24"/>
              </w:rPr>
              <w:t>)</w:t>
            </w:r>
            <w:r>
              <w:rPr>
                <w:bCs/>
                <w:color w:val="000000"/>
                <w:sz w:val="24"/>
              </w:rPr>
              <w:t>——距离噪声源r</w:t>
            </w:r>
            <w:r>
              <w:rPr>
                <w:bCs/>
                <w:color w:val="000000"/>
                <w:sz w:val="24"/>
                <w:vertAlign w:val="subscript"/>
              </w:rPr>
              <w:t>0</w:t>
            </w:r>
            <w:r>
              <w:rPr>
                <w:bCs/>
                <w:color w:val="000000"/>
                <w:sz w:val="24"/>
              </w:rPr>
              <w:t>处的等效A声级值，dB(A)；</w:t>
            </w:r>
          </w:p>
          <w:p>
            <w:pPr>
              <w:tabs>
                <w:tab w:val="left" w:pos="0"/>
              </w:tabs>
              <w:spacing w:line="360" w:lineRule="auto"/>
              <w:ind w:firstLine="1260" w:firstLineChars="525"/>
              <w:rPr>
                <w:bCs/>
                <w:color w:val="000000"/>
                <w:sz w:val="24"/>
              </w:rPr>
            </w:pPr>
            <w:r>
              <w:rPr>
                <w:bCs/>
                <w:i/>
                <w:color w:val="000000"/>
                <w:sz w:val="24"/>
              </w:rPr>
              <w:t>r</w:t>
            </w:r>
            <w:r>
              <w:rPr>
                <w:bCs/>
                <w:color w:val="000000"/>
                <w:sz w:val="24"/>
              </w:rPr>
              <w:t xml:space="preserve"> ——预测点距噪声源距离，（m）；</w:t>
            </w:r>
          </w:p>
          <w:p>
            <w:pPr>
              <w:tabs>
                <w:tab w:val="left" w:pos="0"/>
              </w:tabs>
              <w:spacing w:line="360" w:lineRule="auto"/>
              <w:ind w:firstLine="1260" w:firstLineChars="525"/>
              <w:rPr>
                <w:bCs/>
                <w:color w:val="000000"/>
                <w:sz w:val="24"/>
              </w:rPr>
            </w:pPr>
            <w:r>
              <w:rPr>
                <w:bCs/>
                <w:i/>
                <w:color w:val="000000"/>
                <w:sz w:val="24"/>
              </w:rPr>
              <w:t>r</w:t>
            </w:r>
            <w:r>
              <w:rPr>
                <w:bCs/>
                <w:i/>
                <w:color w:val="000000"/>
                <w:sz w:val="24"/>
                <w:vertAlign w:val="subscript"/>
              </w:rPr>
              <w:t>0</w:t>
            </w:r>
            <w:r>
              <w:rPr>
                <w:bCs/>
                <w:color w:val="000000"/>
                <w:sz w:val="24"/>
              </w:rPr>
              <w:t>——源强外1m处。</w:t>
            </w:r>
          </w:p>
          <w:p>
            <w:pPr>
              <w:spacing w:line="360" w:lineRule="auto"/>
              <w:ind w:firstLine="480" w:firstLineChars="200"/>
              <w:rPr>
                <w:bCs/>
                <w:color w:val="000000"/>
                <w:sz w:val="24"/>
              </w:rPr>
            </w:pPr>
            <w:r>
              <w:rPr>
                <w:bCs/>
                <w:color w:val="000000"/>
                <w:sz w:val="24"/>
              </w:rPr>
              <w:t>②建设项目声源在预测点产生的等效声级贡献值（</w:t>
            </w:r>
            <w:r>
              <w:rPr>
                <w:bCs/>
                <w:i/>
                <w:color w:val="000000"/>
                <w:sz w:val="24"/>
              </w:rPr>
              <w:t>L</w:t>
            </w:r>
            <w:r>
              <w:rPr>
                <w:bCs/>
                <w:i/>
                <w:color w:val="000000"/>
                <w:sz w:val="24"/>
                <w:vertAlign w:val="subscript"/>
              </w:rPr>
              <w:t>eqg</w:t>
            </w:r>
            <w:r>
              <w:rPr>
                <w:bCs/>
                <w:color w:val="000000"/>
                <w:sz w:val="24"/>
              </w:rPr>
              <w:t>）计算公式：</w:t>
            </w:r>
          </w:p>
          <w:p>
            <w:pPr>
              <w:spacing w:line="360" w:lineRule="auto"/>
              <w:ind w:firstLine="480"/>
              <w:rPr>
                <w:bCs/>
                <w:color w:val="000000"/>
                <w:sz w:val="24"/>
              </w:rPr>
            </w:pPr>
            <w:r>
              <w:rPr>
                <w:bCs/>
                <w:color w:val="000000"/>
                <w:position w:val="-28"/>
                <w:sz w:val="24"/>
              </w:rPr>
              <w:object>
                <v:shape id="_x0000_i1026" o:spt="75" type="#_x0000_t75" style="height:33.45pt;width:129.45pt;" o:ole="t" filled="f" coordsize="21600,21600">
                  <v:path/>
                  <v:fill on="f" focussize="0,0"/>
                  <v:stroke/>
                  <v:imagedata r:id="rId12" o:title=""/>
                  <o:lock v:ext="edit" aspectratio="t"/>
                  <w10:wrap type="none"/>
                  <w10:anchorlock/>
                </v:shape>
                <o:OLEObject Type="Embed" ProgID="Equation.3" ShapeID="_x0000_i1026" DrawAspect="Content" ObjectID="_1468075726" r:id="rId11">
                  <o:LockedField>false</o:LockedField>
                </o:OLEObject>
              </w:object>
            </w:r>
          </w:p>
          <w:p>
            <w:pPr>
              <w:spacing w:line="360" w:lineRule="auto"/>
              <w:ind w:firstLine="480" w:firstLineChars="200"/>
              <w:rPr>
                <w:bCs/>
                <w:color w:val="000000"/>
                <w:sz w:val="24"/>
              </w:rPr>
            </w:pPr>
            <w:r>
              <w:rPr>
                <w:bCs/>
                <w:color w:val="000000"/>
                <w:sz w:val="24"/>
              </w:rPr>
              <w:t>式中：</w:t>
            </w:r>
            <w:r>
              <w:rPr>
                <w:bCs/>
                <w:i/>
                <w:color w:val="000000"/>
                <w:sz w:val="24"/>
              </w:rPr>
              <w:t>L</w:t>
            </w:r>
            <w:r>
              <w:rPr>
                <w:bCs/>
                <w:i/>
                <w:color w:val="000000"/>
                <w:sz w:val="24"/>
                <w:vertAlign w:val="subscript"/>
              </w:rPr>
              <w:t>eqg</w:t>
            </w:r>
            <w:r>
              <w:rPr>
                <w:bCs/>
                <w:color w:val="000000"/>
                <w:sz w:val="24"/>
              </w:rPr>
              <w:t>——建设项目声源在预测点的等效声级贡献值，dB(A)；</w:t>
            </w:r>
          </w:p>
          <w:p>
            <w:pPr>
              <w:spacing w:line="360" w:lineRule="auto"/>
              <w:ind w:firstLine="1200" w:firstLineChars="500"/>
              <w:rPr>
                <w:bCs/>
                <w:color w:val="000000"/>
                <w:sz w:val="24"/>
              </w:rPr>
            </w:pPr>
            <w:r>
              <w:rPr>
                <w:bCs/>
                <w:i/>
                <w:color w:val="000000"/>
                <w:sz w:val="24"/>
              </w:rPr>
              <w:t>L</w:t>
            </w:r>
            <w:r>
              <w:rPr>
                <w:bCs/>
                <w:i/>
                <w:color w:val="000000"/>
                <w:sz w:val="24"/>
                <w:vertAlign w:val="subscript"/>
              </w:rPr>
              <w:t>Ai</w:t>
            </w:r>
            <w:r>
              <w:rPr>
                <w:bCs/>
                <w:color w:val="000000"/>
                <w:sz w:val="24"/>
              </w:rPr>
              <w:t>——</w:t>
            </w:r>
            <w:r>
              <w:rPr>
                <w:bCs/>
                <w:i/>
                <w:color w:val="000000"/>
                <w:sz w:val="24"/>
              </w:rPr>
              <w:t>i</w:t>
            </w:r>
            <w:r>
              <w:rPr>
                <w:bCs/>
                <w:color w:val="000000"/>
                <w:sz w:val="24"/>
              </w:rPr>
              <w:t>声源在预测点产生的A声级，dB(A)；</w:t>
            </w:r>
          </w:p>
          <w:p>
            <w:pPr>
              <w:tabs>
                <w:tab w:val="left" w:pos="0"/>
              </w:tabs>
              <w:spacing w:line="360" w:lineRule="auto"/>
              <w:ind w:firstLine="1200" w:firstLineChars="500"/>
              <w:rPr>
                <w:bCs/>
                <w:color w:val="000000"/>
                <w:sz w:val="24"/>
              </w:rPr>
            </w:pPr>
            <w:r>
              <w:rPr>
                <w:bCs/>
                <w:i/>
                <w:color w:val="000000"/>
                <w:sz w:val="24"/>
              </w:rPr>
              <w:t>T</w:t>
            </w:r>
            <w:r>
              <w:rPr>
                <w:bCs/>
                <w:color w:val="000000"/>
                <w:sz w:val="24"/>
              </w:rPr>
              <w:t xml:space="preserve"> ——预测计算的时间段，s；</w:t>
            </w:r>
          </w:p>
          <w:p>
            <w:pPr>
              <w:tabs>
                <w:tab w:val="left" w:pos="0"/>
              </w:tabs>
              <w:spacing w:line="360" w:lineRule="auto"/>
              <w:ind w:firstLine="1200" w:firstLineChars="500"/>
              <w:rPr>
                <w:bCs/>
                <w:i/>
                <w:color w:val="000000"/>
                <w:sz w:val="24"/>
              </w:rPr>
            </w:pPr>
            <w:r>
              <w:rPr>
                <w:bCs/>
                <w:i/>
                <w:color w:val="000000"/>
                <w:sz w:val="24"/>
              </w:rPr>
              <w:t>t</w:t>
            </w:r>
            <w:r>
              <w:rPr>
                <w:bCs/>
                <w:i/>
                <w:color w:val="000000"/>
                <w:sz w:val="24"/>
                <w:vertAlign w:val="subscript"/>
              </w:rPr>
              <w:t>i</w:t>
            </w:r>
            <w:r>
              <w:rPr>
                <w:bCs/>
                <w:color w:val="000000"/>
                <w:sz w:val="24"/>
              </w:rPr>
              <w:t>——</w:t>
            </w:r>
            <w:r>
              <w:rPr>
                <w:bCs/>
                <w:i/>
                <w:color w:val="000000"/>
                <w:sz w:val="24"/>
              </w:rPr>
              <w:t>i</w:t>
            </w:r>
            <w:r>
              <w:rPr>
                <w:bCs/>
                <w:color w:val="000000"/>
                <w:sz w:val="24"/>
              </w:rPr>
              <w:t>声源在</w:t>
            </w:r>
            <w:r>
              <w:rPr>
                <w:bCs/>
                <w:i/>
                <w:color w:val="000000"/>
                <w:sz w:val="24"/>
              </w:rPr>
              <w:t>T</w:t>
            </w:r>
            <w:r>
              <w:rPr>
                <w:bCs/>
                <w:color w:val="000000"/>
                <w:sz w:val="24"/>
              </w:rPr>
              <w:t>时段内的运行时间，s。</w:t>
            </w:r>
          </w:p>
          <w:p>
            <w:pPr>
              <w:spacing w:line="360" w:lineRule="auto"/>
              <w:ind w:firstLine="480" w:firstLineChars="200"/>
              <w:rPr>
                <w:bCs/>
                <w:color w:val="000000"/>
                <w:sz w:val="24"/>
              </w:rPr>
            </w:pPr>
            <w:r>
              <w:rPr>
                <w:bCs/>
                <w:color w:val="000000"/>
                <w:sz w:val="24"/>
              </w:rPr>
              <w:t>③预测点的预测等效声级（</w:t>
            </w:r>
            <w:r>
              <w:rPr>
                <w:bCs/>
                <w:i/>
                <w:color w:val="000000"/>
                <w:sz w:val="24"/>
              </w:rPr>
              <w:t>L</w:t>
            </w:r>
            <w:r>
              <w:rPr>
                <w:bCs/>
                <w:i/>
                <w:color w:val="000000"/>
                <w:sz w:val="24"/>
                <w:vertAlign w:val="subscript"/>
              </w:rPr>
              <w:t>eq</w:t>
            </w:r>
            <w:r>
              <w:rPr>
                <w:bCs/>
                <w:color w:val="000000"/>
                <w:sz w:val="24"/>
              </w:rPr>
              <w:t>）计算公式：</w:t>
            </w:r>
          </w:p>
          <w:p>
            <w:pPr>
              <w:spacing w:line="360" w:lineRule="auto"/>
              <w:ind w:firstLine="480" w:firstLineChars="200"/>
              <w:rPr>
                <w:bCs/>
                <w:color w:val="000000"/>
                <w:sz w:val="24"/>
              </w:rPr>
            </w:pPr>
            <w:r>
              <w:rPr>
                <w:bCs/>
                <w:color w:val="000000"/>
                <w:position w:val="-14"/>
                <w:sz w:val="24"/>
              </w:rPr>
              <w:object>
                <v:shape id="_x0000_i1027" o:spt="75" type="#_x0000_t75" style="height:22.3pt;width:146.55pt;" o:ole="t" filled="f" coordsize="21600,21600">
                  <v:path/>
                  <v:fill on="f" focussize="0,0"/>
                  <v:stroke/>
                  <v:imagedata r:id="rId14" o:title=""/>
                  <o:lock v:ext="edit" aspectratio="t"/>
                  <w10:wrap type="none"/>
                  <w10:anchorlock/>
                </v:shape>
                <o:OLEObject Type="Embed" ProgID="Equation.3" ShapeID="_x0000_i1027" DrawAspect="Content" ObjectID="_1468075727" r:id="rId13">
                  <o:LockedField>false</o:LockedField>
                </o:OLEObject>
              </w:object>
            </w:r>
          </w:p>
          <w:p>
            <w:pPr>
              <w:spacing w:line="360" w:lineRule="auto"/>
              <w:ind w:firstLine="480" w:firstLineChars="200"/>
              <w:rPr>
                <w:bCs/>
                <w:color w:val="000000"/>
                <w:sz w:val="24"/>
              </w:rPr>
            </w:pPr>
            <w:r>
              <w:rPr>
                <w:bCs/>
                <w:color w:val="000000"/>
                <w:sz w:val="24"/>
              </w:rPr>
              <w:t>式中：</w:t>
            </w:r>
            <w:r>
              <w:rPr>
                <w:bCs/>
                <w:i/>
                <w:color w:val="000000"/>
                <w:sz w:val="24"/>
              </w:rPr>
              <w:t>L</w:t>
            </w:r>
            <w:r>
              <w:rPr>
                <w:bCs/>
                <w:i/>
                <w:color w:val="000000"/>
                <w:sz w:val="24"/>
                <w:vertAlign w:val="subscript"/>
              </w:rPr>
              <w:t>eqg</w:t>
            </w:r>
            <w:r>
              <w:rPr>
                <w:bCs/>
                <w:color w:val="000000"/>
                <w:sz w:val="24"/>
              </w:rPr>
              <w:t>——建设项目声源在预测点的等效声级贡献值，dB(A)；</w:t>
            </w:r>
          </w:p>
          <w:p>
            <w:pPr>
              <w:spacing w:line="360" w:lineRule="auto"/>
              <w:ind w:firstLine="480" w:firstLineChars="200"/>
              <w:rPr>
                <w:bCs/>
                <w:color w:val="000000"/>
                <w:sz w:val="24"/>
              </w:rPr>
            </w:pPr>
            <w:r>
              <w:rPr>
                <w:bCs/>
                <w:i/>
                <w:color w:val="000000"/>
                <w:sz w:val="24"/>
              </w:rPr>
              <w:t>L</w:t>
            </w:r>
            <w:r>
              <w:rPr>
                <w:bCs/>
                <w:i/>
                <w:color w:val="000000"/>
                <w:sz w:val="24"/>
                <w:vertAlign w:val="subscript"/>
              </w:rPr>
              <w:t>eqb</w:t>
            </w:r>
            <w:r>
              <w:rPr>
                <w:bCs/>
                <w:color w:val="000000"/>
                <w:sz w:val="24"/>
              </w:rPr>
              <w:t>——预测点的背景值，dB(A)。</w:t>
            </w:r>
          </w:p>
          <w:p>
            <w:pPr>
              <w:spacing w:line="360" w:lineRule="auto"/>
              <w:ind w:firstLine="480" w:firstLineChars="200"/>
              <w:rPr>
                <w:bCs/>
                <w:color w:val="000000"/>
                <w:sz w:val="24"/>
              </w:rPr>
            </w:pPr>
            <w:r>
              <w:rPr>
                <w:rFonts w:hint="eastAsia"/>
                <w:bCs/>
                <w:color w:val="000000"/>
                <w:sz w:val="24"/>
              </w:rPr>
              <w:t>（2）</w:t>
            </w:r>
            <w:r>
              <w:rPr>
                <w:bCs/>
                <w:color w:val="000000"/>
                <w:sz w:val="24"/>
              </w:rPr>
              <w:t>预测结果</w:t>
            </w:r>
          </w:p>
          <w:p>
            <w:pPr>
              <w:spacing w:line="360" w:lineRule="auto"/>
              <w:ind w:firstLine="480" w:firstLineChars="200"/>
              <w:rPr>
                <w:bCs/>
                <w:color w:val="000000"/>
                <w:sz w:val="24"/>
              </w:rPr>
            </w:pPr>
            <w:r>
              <w:rPr>
                <w:bCs/>
                <w:color w:val="000000"/>
                <w:sz w:val="24"/>
              </w:rPr>
              <w:t>本项目仅白天进行生产，夜间不生产。本项目完成后，各厂界噪声环境影响预测结果见表</w:t>
            </w:r>
            <w:r>
              <w:rPr>
                <w:rFonts w:hint="eastAsia"/>
                <w:bCs/>
                <w:color w:val="000000"/>
                <w:sz w:val="24"/>
              </w:rPr>
              <w:t>4-</w:t>
            </w:r>
            <w:r>
              <w:rPr>
                <w:rFonts w:hint="eastAsia"/>
                <w:bCs/>
                <w:color w:val="000000"/>
                <w:sz w:val="24"/>
                <w:lang w:val="en-US" w:eastAsia="zh-CN"/>
              </w:rPr>
              <w:t>11</w:t>
            </w:r>
            <w:r>
              <w:rPr>
                <w:bCs/>
                <w:color w:val="000000"/>
                <w:sz w:val="24"/>
              </w:rPr>
              <w:t>。</w:t>
            </w:r>
            <w:r>
              <w:rPr>
                <w:rFonts w:hint="eastAsia"/>
                <w:bCs/>
                <w:color w:val="000000"/>
                <w:sz w:val="24"/>
              </w:rPr>
              <w:t xml:space="preserve"> </w:t>
            </w:r>
          </w:p>
          <w:p>
            <w:pPr>
              <w:spacing w:line="460" w:lineRule="exact"/>
              <w:ind w:firstLine="540"/>
              <w:jc w:val="center"/>
              <w:rPr>
                <w:rFonts w:eastAsia="黑体"/>
                <w:color w:val="000000"/>
                <w:sz w:val="24"/>
              </w:rPr>
            </w:pPr>
            <w:r>
              <w:rPr>
                <w:rFonts w:hint="eastAsia" w:eastAsia="黑体"/>
                <w:color w:val="000000"/>
                <w:sz w:val="24"/>
              </w:rPr>
              <w:t>表4-</w:t>
            </w:r>
            <w:r>
              <w:rPr>
                <w:rFonts w:hint="eastAsia" w:eastAsia="黑体"/>
                <w:color w:val="000000"/>
                <w:sz w:val="24"/>
                <w:lang w:val="en-US" w:eastAsia="zh-CN"/>
              </w:rPr>
              <w:t>11</w:t>
            </w:r>
            <w:r>
              <w:rPr>
                <w:rFonts w:eastAsia="黑体"/>
                <w:color w:val="000000"/>
                <w:sz w:val="24"/>
              </w:rPr>
              <w:t xml:space="preserve">    </w:t>
            </w:r>
            <w:r>
              <w:rPr>
                <w:rFonts w:hint="eastAsia" w:eastAsia="黑体"/>
                <w:color w:val="000000"/>
                <w:sz w:val="24"/>
              </w:rPr>
              <w:t>厂界运营期各评价点噪声环境影响预测结果一览表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159"/>
              <w:gridCol w:w="962"/>
              <w:gridCol w:w="1106"/>
              <w:gridCol w:w="1244"/>
              <w:gridCol w:w="1244"/>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pct"/>
                  <w:vAlign w:val="center"/>
                </w:tcPr>
                <w:p>
                  <w:pPr>
                    <w:jc w:val="center"/>
                    <w:rPr>
                      <w:color w:val="000000"/>
                      <w:szCs w:val="21"/>
                      <w:lang w:val="en-GB" w:eastAsia="zh-TW"/>
                    </w:rPr>
                  </w:pPr>
                  <w:r>
                    <w:rPr>
                      <w:rFonts w:hint="eastAsia" w:hAnsi="宋体"/>
                      <w:color w:val="000000"/>
                      <w:szCs w:val="21"/>
                    </w:rPr>
                    <w:t>评价点</w:t>
                  </w:r>
                </w:p>
              </w:tc>
              <w:tc>
                <w:tcPr>
                  <w:tcW w:w="730" w:type="pct"/>
                  <w:vAlign w:val="center"/>
                </w:tcPr>
                <w:p>
                  <w:pPr>
                    <w:jc w:val="center"/>
                    <w:rPr>
                      <w:color w:val="000000"/>
                      <w:szCs w:val="21"/>
                      <w:lang w:val="en-GB" w:eastAsia="zh-TW"/>
                    </w:rPr>
                  </w:pPr>
                  <w:r>
                    <w:rPr>
                      <w:rFonts w:hint="eastAsia"/>
                      <w:color w:val="000000"/>
                      <w:szCs w:val="21"/>
                    </w:rPr>
                    <w:t>叠加后源强</w:t>
                  </w:r>
                  <w:r>
                    <w:rPr>
                      <w:color w:val="000000"/>
                      <w:szCs w:val="21"/>
                    </w:rPr>
                    <w:t>dB(A)</w:t>
                  </w:r>
                </w:p>
              </w:tc>
              <w:tc>
                <w:tcPr>
                  <w:tcW w:w="606" w:type="pct"/>
                  <w:vAlign w:val="center"/>
                </w:tcPr>
                <w:p>
                  <w:pPr>
                    <w:jc w:val="center"/>
                    <w:rPr>
                      <w:color w:val="000000"/>
                      <w:szCs w:val="21"/>
                      <w:lang w:val="en-GB" w:eastAsia="zh-TW"/>
                    </w:rPr>
                  </w:pPr>
                  <w:r>
                    <w:rPr>
                      <w:rFonts w:hint="eastAsia"/>
                      <w:color w:val="000000"/>
                      <w:szCs w:val="21"/>
                    </w:rPr>
                    <w:t>衰减距离（</w:t>
                  </w:r>
                  <w:r>
                    <w:rPr>
                      <w:color w:val="000000"/>
                      <w:szCs w:val="21"/>
                    </w:rPr>
                    <w:t>m</w:t>
                  </w:r>
                  <w:r>
                    <w:rPr>
                      <w:rFonts w:hint="eastAsia"/>
                      <w:color w:val="000000"/>
                      <w:szCs w:val="21"/>
                    </w:rPr>
                    <w:t>）</w:t>
                  </w:r>
                </w:p>
              </w:tc>
              <w:tc>
                <w:tcPr>
                  <w:tcW w:w="697" w:type="pct"/>
                  <w:vAlign w:val="center"/>
                </w:tcPr>
                <w:p>
                  <w:pPr>
                    <w:jc w:val="center"/>
                    <w:rPr>
                      <w:color w:val="000000"/>
                      <w:szCs w:val="21"/>
                      <w:lang w:val="en-GB" w:eastAsia="zh-TW"/>
                    </w:rPr>
                  </w:pPr>
                  <w:r>
                    <w:rPr>
                      <w:rFonts w:hint="eastAsia"/>
                      <w:color w:val="000000"/>
                      <w:szCs w:val="21"/>
                    </w:rPr>
                    <w:t>预测点位贡献值预测/</w:t>
                  </w:r>
                  <w:r>
                    <w:rPr>
                      <w:color w:val="000000"/>
                      <w:szCs w:val="21"/>
                    </w:rPr>
                    <w:t>dB(A)</w:t>
                  </w:r>
                </w:p>
              </w:tc>
              <w:tc>
                <w:tcPr>
                  <w:tcW w:w="784" w:type="pct"/>
                </w:tcPr>
                <w:p>
                  <w:pPr>
                    <w:jc w:val="center"/>
                    <w:rPr>
                      <w:color w:val="000000"/>
                      <w:szCs w:val="21"/>
                    </w:rPr>
                  </w:pPr>
                  <w:r>
                    <w:rPr>
                      <w:rFonts w:hint="eastAsia"/>
                      <w:color w:val="000000"/>
                      <w:szCs w:val="21"/>
                    </w:rPr>
                    <w:t>昼间现状值</w:t>
                  </w:r>
                  <w:r>
                    <w:rPr>
                      <w:color w:val="000000"/>
                      <w:szCs w:val="21"/>
                    </w:rPr>
                    <w:t>/dB(A)</w:t>
                  </w:r>
                </w:p>
              </w:tc>
              <w:tc>
                <w:tcPr>
                  <w:tcW w:w="784" w:type="pct"/>
                </w:tcPr>
                <w:p>
                  <w:pPr>
                    <w:jc w:val="center"/>
                    <w:rPr>
                      <w:color w:val="000000"/>
                      <w:szCs w:val="21"/>
                    </w:rPr>
                  </w:pPr>
                  <w:r>
                    <w:rPr>
                      <w:rFonts w:hint="eastAsia"/>
                      <w:color w:val="000000"/>
                      <w:szCs w:val="21"/>
                    </w:rPr>
                    <w:t>昼间叠加值</w:t>
                  </w:r>
                  <w:r>
                    <w:rPr>
                      <w:color w:val="000000"/>
                      <w:szCs w:val="21"/>
                    </w:rPr>
                    <w:t xml:space="preserve">/dB(A) </w:t>
                  </w:r>
                </w:p>
              </w:tc>
              <w:tc>
                <w:tcPr>
                  <w:tcW w:w="610" w:type="pct"/>
                  <w:vAlign w:val="center"/>
                </w:tcPr>
                <w:p>
                  <w:pPr>
                    <w:jc w:val="center"/>
                    <w:rPr>
                      <w:color w:val="000000"/>
                      <w:szCs w:val="21"/>
                    </w:rPr>
                  </w:pPr>
                  <w:r>
                    <w:rPr>
                      <w:rFonts w:hint="eastAsia"/>
                      <w:color w:val="00000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89" w:type="pct"/>
                  <w:vAlign w:val="center"/>
                </w:tcPr>
                <w:p>
                  <w:pPr>
                    <w:jc w:val="center"/>
                    <w:rPr>
                      <w:color w:val="000000"/>
                      <w:szCs w:val="21"/>
                      <w:lang w:val="en-GB" w:eastAsia="zh-TW"/>
                    </w:rPr>
                  </w:pPr>
                  <w:r>
                    <w:rPr>
                      <w:rFonts w:hint="eastAsia"/>
                      <w:color w:val="000000"/>
                      <w:szCs w:val="21"/>
                    </w:rPr>
                    <w:t>东厂界</w:t>
                  </w:r>
                </w:p>
              </w:tc>
              <w:tc>
                <w:tcPr>
                  <w:tcW w:w="730" w:type="pct"/>
                  <w:vMerge w:val="restart"/>
                  <w:vAlign w:val="center"/>
                </w:tcPr>
                <w:p>
                  <w:pPr>
                    <w:jc w:val="center"/>
                    <w:rPr>
                      <w:bCs/>
                      <w:color w:val="000000"/>
                      <w:szCs w:val="21"/>
                      <w:lang w:val="en-GB"/>
                    </w:rPr>
                  </w:pPr>
                  <w:r>
                    <w:rPr>
                      <w:rFonts w:hint="eastAsia"/>
                      <w:bCs/>
                      <w:color w:val="000000"/>
                      <w:szCs w:val="21"/>
                    </w:rPr>
                    <w:t>6</w:t>
                  </w:r>
                  <w:r>
                    <w:rPr>
                      <w:bCs/>
                      <w:color w:val="000000"/>
                      <w:szCs w:val="21"/>
                    </w:rPr>
                    <w:t>2.3</w:t>
                  </w:r>
                </w:p>
              </w:tc>
              <w:tc>
                <w:tcPr>
                  <w:tcW w:w="606" w:type="pct"/>
                  <w:vAlign w:val="center"/>
                </w:tcPr>
                <w:p>
                  <w:pPr>
                    <w:jc w:val="center"/>
                    <w:rPr>
                      <w:color w:val="000000"/>
                      <w:szCs w:val="21"/>
                      <w:lang w:val="en-GB"/>
                    </w:rPr>
                  </w:pPr>
                  <w:r>
                    <w:rPr>
                      <w:color w:val="000000"/>
                      <w:szCs w:val="21"/>
                    </w:rPr>
                    <w:t>20</w:t>
                  </w:r>
                </w:p>
              </w:tc>
              <w:tc>
                <w:tcPr>
                  <w:tcW w:w="697" w:type="pct"/>
                  <w:vAlign w:val="center"/>
                </w:tcPr>
                <w:p>
                  <w:pPr>
                    <w:jc w:val="center"/>
                    <w:rPr>
                      <w:color w:val="000000"/>
                      <w:szCs w:val="21"/>
                    </w:rPr>
                  </w:pPr>
                  <w:r>
                    <w:rPr>
                      <w:rFonts w:hint="eastAsia"/>
                      <w:color w:val="000000"/>
                      <w:szCs w:val="21"/>
                    </w:rPr>
                    <w:t>42.3</w:t>
                  </w:r>
                </w:p>
              </w:tc>
              <w:tc>
                <w:tcPr>
                  <w:tcW w:w="784" w:type="pct"/>
                  <w:vAlign w:val="center"/>
                </w:tcPr>
                <w:p>
                  <w:pPr>
                    <w:jc w:val="center"/>
                    <w:rPr>
                      <w:color w:val="000000"/>
                      <w:szCs w:val="21"/>
                    </w:rPr>
                  </w:pPr>
                  <w:r>
                    <w:rPr>
                      <w:rFonts w:hint="eastAsia"/>
                      <w:color w:val="000000"/>
                      <w:szCs w:val="21"/>
                    </w:rPr>
                    <w:t>/</w:t>
                  </w:r>
                </w:p>
              </w:tc>
              <w:tc>
                <w:tcPr>
                  <w:tcW w:w="784" w:type="pct"/>
                  <w:vAlign w:val="center"/>
                </w:tcPr>
                <w:p>
                  <w:pPr>
                    <w:jc w:val="center"/>
                    <w:rPr>
                      <w:color w:val="000000"/>
                      <w:szCs w:val="21"/>
                    </w:rPr>
                  </w:pPr>
                  <w:r>
                    <w:rPr>
                      <w:rFonts w:hint="eastAsia"/>
                      <w:color w:val="000000"/>
                      <w:szCs w:val="21"/>
                    </w:rPr>
                    <w:t>/</w:t>
                  </w:r>
                </w:p>
              </w:tc>
              <w:tc>
                <w:tcPr>
                  <w:tcW w:w="610" w:type="pct"/>
                  <w:vAlign w:val="center"/>
                </w:tcPr>
                <w:p>
                  <w:pPr>
                    <w:jc w:val="center"/>
                    <w:rPr>
                      <w:color w:val="000000"/>
                      <w:szCs w:val="21"/>
                    </w:rPr>
                  </w:pPr>
                  <w:r>
                    <w:rPr>
                      <w:rFonts w:hint="eastAsia"/>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89" w:type="pct"/>
                  <w:vAlign w:val="center"/>
                </w:tcPr>
                <w:p>
                  <w:pPr>
                    <w:jc w:val="center"/>
                    <w:rPr>
                      <w:color w:val="000000"/>
                      <w:szCs w:val="21"/>
                      <w:lang w:val="en-GB" w:eastAsia="zh-TW"/>
                    </w:rPr>
                  </w:pPr>
                  <w:r>
                    <w:rPr>
                      <w:rFonts w:hint="eastAsia"/>
                      <w:color w:val="000000"/>
                      <w:szCs w:val="21"/>
                    </w:rPr>
                    <w:t>西厂界</w:t>
                  </w:r>
                </w:p>
              </w:tc>
              <w:tc>
                <w:tcPr>
                  <w:tcW w:w="730" w:type="pct"/>
                  <w:vMerge w:val="continue"/>
                  <w:vAlign w:val="center"/>
                </w:tcPr>
                <w:p>
                  <w:pPr>
                    <w:widowControl/>
                    <w:jc w:val="left"/>
                    <w:rPr>
                      <w:bCs/>
                      <w:color w:val="000000"/>
                      <w:szCs w:val="21"/>
                      <w:lang w:val="en-GB"/>
                    </w:rPr>
                  </w:pPr>
                </w:p>
              </w:tc>
              <w:tc>
                <w:tcPr>
                  <w:tcW w:w="606" w:type="pct"/>
                  <w:vAlign w:val="center"/>
                </w:tcPr>
                <w:p>
                  <w:pPr>
                    <w:jc w:val="center"/>
                    <w:rPr>
                      <w:color w:val="000000"/>
                      <w:szCs w:val="21"/>
                      <w:lang w:val="en-GB"/>
                    </w:rPr>
                  </w:pPr>
                  <w:r>
                    <w:rPr>
                      <w:color w:val="000000"/>
                      <w:szCs w:val="21"/>
                    </w:rPr>
                    <w:t>10</w:t>
                  </w:r>
                </w:p>
              </w:tc>
              <w:tc>
                <w:tcPr>
                  <w:tcW w:w="697" w:type="pct"/>
                  <w:vAlign w:val="center"/>
                </w:tcPr>
                <w:p>
                  <w:pPr>
                    <w:jc w:val="center"/>
                    <w:rPr>
                      <w:color w:val="000000"/>
                      <w:szCs w:val="21"/>
                    </w:rPr>
                  </w:pPr>
                  <w:r>
                    <w:rPr>
                      <w:rFonts w:hint="eastAsia"/>
                      <w:color w:val="000000"/>
                      <w:szCs w:val="21"/>
                    </w:rPr>
                    <w:t>52.3</w:t>
                  </w:r>
                </w:p>
              </w:tc>
              <w:tc>
                <w:tcPr>
                  <w:tcW w:w="784" w:type="pct"/>
                  <w:vAlign w:val="center"/>
                </w:tcPr>
                <w:p>
                  <w:pPr>
                    <w:jc w:val="center"/>
                    <w:rPr>
                      <w:color w:val="000000"/>
                      <w:szCs w:val="21"/>
                    </w:rPr>
                  </w:pPr>
                  <w:r>
                    <w:rPr>
                      <w:rFonts w:hint="eastAsia"/>
                      <w:color w:val="000000"/>
                      <w:szCs w:val="21"/>
                    </w:rPr>
                    <w:t>/</w:t>
                  </w:r>
                </w:p>
              </w:tc>
              <w:tc>
                <w:tcPr>
                  <w:tcW w:w="784" w:type="pct"/>
                  <w:vAlign w:val="center"/>
                </w:tcPr>
                <w:p>
                  <w:pPr>
                    <w:jc w:val="center"/>
                    <w:rPr>
                      <w:color w:val="000000"/>
                      <w:szCs w:val="21"/>
                    </w:rPr>
                  </w:pPr>
                  <w:r>
                    <w:rPr>
                      <w:rFonts w:hint="eastAsia"/>
                      <w:color w:val="000000"/>
                      <w:szCs w:val="21"/>
                    </w:rPr>
                    <w:t>/</w:t>
                  </w:r>
                </w:p>
              </w:tc>
              <w:tc>
                <w:tcPr>
                  <w:tcW w:w="610" w:type="pct"/>
                  <w:vAlign w:val="center"/>
                </w:tcPr>
                <w:p>
                  <w:pPr>
                    <w:jc w:val="center"/>
                    <w:rPr>
                      <w:color w:val="000000"/>
                      <w:szCs w:val="21"/>
                    </w:rPr>
                  </w:pPr>
                  <w:r>
                    <w:rPr>
                      <w:rFonts w:hint="eastAsia"/>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89" w:type="pct"/>
                  <w:vAlign w:val="center"/>
                </w:tcPr>
                <w:p>
                  <w:pPr>
                    <w:jc w:val="center"/>
                    <w:rPr>
                      <w:color w:val="000000"/>
                      <w:szCs w:val="21"/>
                      <w:lang w:val="en-GB" w:eastAsia="zh-TW"/>
                    </w:rPr>
                  </w:pPr>
                  <w:r>
                    <w:rPr>
                      <w:rFonts w:hint="eastAsia"/>
                      <w:color w:val="000000"/>
                      <w:szCs w:val="21"/>
                    </w:rPr>
                    <w:t>南厂界</w:t>
                  </w:r>
                </w:p>
              </w:tc>
              <w:tc>
                <w:tcPr>
                  <w:tcW w:w="730" w:type="pct"/>
                  <w:vMerge w:val="continue"/>
                  <w:vAlign w:val="center"/>
                </w:tcPr>
                <w:p>
                  <w:pPr>
                    <w:widowControl/>
                    <w:jc w:val="left"/>
                    <w:rPr>
                      <w:bCs/>
                      <w:color w:val="000000"/>
                      <w:szCs w:val="21"/>
                      <w:lang w:val="en-GB"/>
                    </w:rPr>
                  </w:pPr>
                </w:p>
              </w:tc>
              <w:tc>
                <w:tcPr>
                  <w:tcW w:w="606" w:type="pct"/>
                  <w:vAlign w:val="center"/>
                </w:tcPr>
                <w:p>
                  <w:pPr>
                    <w:jc w:val="center"/>
                    <w:rPr>
                      <w:color w:val="000000"/>
                      <w:szCs w:val="21"/>
                      <w:lang w:val="en-GB"/>
                    </w:rPr>
                  </w:pPr>
                  <w:r>
                    <w:rPr>
                      <w:color w:val="000000"/>
                      <w:szCs w:val="21"/>
                    </w:rPr>
                    <w:t>30</w:t>
                  </w:r>
                </w:p>
              </w:tc>
              <w:tc>
                <w:tcPr>
                  <w:tcW w:w="697" w:type="pct"/>
                  <w:vAlign w:val="center"/>
                </w:tcPr>
                <w:p>
                  <w:pPr>
                    <w:jc w:val="center"/>
                    <w:rPr>
                      <w:color w:val="000000"/>
                      <w:szCs w:val="21"/>
                    </w:rPr>
                  </w:pPr>
                  <w:r>
                    <w:rPr>
                      <w:rFonts w:hint="eastAsia"/>
                      <w:color w:val="000000"/>
                      <w:szCs w:val="21"/>
                    </w:rPr>
                    <w:t>32.3</w:t>
                  </w:r>
                </w:p>
              </w:tc>
              <w:tc>
                <w:tcPr>
                  <w:tcW w:w="784" w:type="pct"/>
                  <w:vAlign w:val="center"/>
                </w:tcPr>
                <w:p>
                  <w:pPr>
                    <w:jc w:val="center"/>
                    <w:rPr>
                      <w:color w:val="000000"/>
                      <w:szCs w:val="21"/>
                    </w:rPr>
                  </w:pPr>
                  <w:r>
                    <w:rPr>
                      <w:rFonts w:hint="eastAsia"/>
                      <w:color w:val="000000"/>
                      <w:szCs w:val="21"/>
                    </w:rPr>
                    <w:t>/</w:t>
                  </w:r>
                </w:p>
              </w:tc>
              <w:tc>
                <w:tcPr>
                  <w:tcW w:w="784" w:type="pct"/>
                  <w:vAlign w:val="center"/>
                </w:tcPr>
                <w:p>
                  <w:pPr>
                    <w:jc w:val="center"/>
                    <w:rPr>
                      <w:color w:val="000000"/>
                      <w:szCs w:val="21"/>
                    </w:rPr>
                  </w:pPr>
                  <w:r>
                    <w:rPr>
                      <w:rFonts w:hint="eastAsia"/>
                      <w:color w:val="000000"/>
                      <w:szCs w:val="21"/>
                    </w:rPr>
                    <w:t>/</w:t>
                  </w:r>
                </w:p>
              </w:tc>
              <w:tc>
                <w:tcPr>
                  <w:tcW w:w="610" w:type="pct"/>
                  <w:vAlign w:val="center"/>
                </w:tcPr>
                <w:p>
                  <w:pPr>
                    <w:jc w:val="center"/>
                    <w:rPr>
                      <w:color w:val="000000"/>
                      <w:szCs w:val="21"/>
                    </w:rPr>
                  </w:pPr>
                  <w:r>
                    <w:rPr>
                      <w:rFonts w:hint="eastAsia"/>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789" w:type="pct"/>
                  <w:vAlign w:val="center"/>
                </w:tcPr>
                <w:p>
                  <w:pPr>
                    <w:jc w:val="center"/>
                    <w:rPr>
                      <w:color w:val="000000"/>
                      <w:szCs w:val="21"/>
                      <w:lang w:val="en-GB" w:eastAsia="zh-TW"/>
                    </w:rPr>
                  </w:pPr>
                  <w:r>
                    <w:rPr>
                      <w:rFonts w:hint="eastAsia"/>
                      <w:color w:val="000000"/>
                      <w:szCs w:val="21"/>
                    </w:rPr>
                    <w:t>北厂界</w:t>
                  </w:r>
                </w:p>
              </w:tc>
              <w:tc>
                <w:tcPr>
                  <w:tcW w:w="730" w:type="pct"/>
                  <w:vMerge w:val="continue"/>
                  <w:vAlign w:val="center"/>
                </w:tcPr>
                <w:p>
                  <w:pPr>
                    <w:widowControl/>
                    <w:jc w:val="left"/>
                    <w:rPr>
                      <w:bCs/>
                      <w:color w:val="000000"/>
                      <w:szCs w:val="21"/>
                      <w:lang w:val="en-GB"/>
                    </w:rPr>
                  </w:pPr>
                </w:p>
              </w:tc>
              <w:tc>
                <w:tcPr>
                  <w:tcW w:w="606" w:type="pct"/>
                  <w:vAlign w:val="center"/>
                </w:tcPr>
                <w:p>
                  <w:pPr>
                    <w:jc w:val="center"/>
                    <w:rPr>
                      <w:color w:val="000000"/>
                      <w:szCs w:val="21"/>
                      <w:lang w:val="en-GB"/>
                    </w:rPr>
                  </w:pPr>
                  <w:r>
                    <w:rPr>
                      <w:color w:val="000000"/>
                      <w:szCs w:val="21"/>
                    </w:rPr>
                    <w:t>10</w:t>
                  </w:r>
                </w:p>
              </w:tc>
              <w:tc>
                <w:tcPr>
                  <w:tcW w:w="697" w:type="pct"/>
                  <w:vAlign w:val="center"/>
                </w:tcPr>
                <w:p>
                  <w:pPr>
                    <w:jc w:val="center"/>
                    <w:rPr>
                      <w:color w:val="000000"/>
                      <w:szCs w:val="21"/>
                    </w:rPr>
                  </w:pPr>
                  <w:r>
                    <w:rPr>
                      <w:rFonts w:hint="eastAsia"/>
                      <w:color w:val="000000"/>
                      <w:szCs w:val="21"/>
                    </w:rPr>
                    <w:t>52.3</w:t>
                  </w:r>
                </w:p>
              </w:tc>
              <w:tc>
                <w:tcPr>
                  <w:tcW w:w="784" w:type="pct"/>
                  <w:vAlign w:val="center"/>
                </w:tcPr>
                <w:p>
                  <w:pPr>
                    <w:jc w:val="center"/>
                    <w:rPr>
                      <w:color w:val="000000"/>
                      <w:szCs w:val="21"/>
                    </w:rPr>
                  </w:pPr>
                  <w:r>
                    <w:rPr>
                      <w:rFonts w:hint="eastAsia"/>
                      <w:color w:val="000000"/>
                      <w:szCs w:val="21"/>
                    </w:rPr>
                    <w:t>/</w:t>
                  </w:r>
                </w:p>
              </w:tc>
              <w:tc>
                <w:tcPr>
                  <w:tcW w:w="784" w:type="pct"/>
                  <w:vAlign w:val="center"/>
                </w:tcPr>
                <w:p>
                  <w:pPr>
                    <w:jc w:val="center"/>
                    <w:rPr>
                      <w:color w:val="000000"/>
                      <w:szCs w:val="21"/>
                    </w:rPr>
                  </w:pPr>
                  <w:r>
                    <w:rPr>
                      <w:rFonts w:hint="eastAsia"/>
                      <w:color w:val="000000"/>
                      <w:szCs w:val="21"/>
                    </w:rPr>
                    <w:t>/</w:t>
                  </w:r>
                </w:p>
              </w:tc>
              <w:tc>
                <w:tcPr>
                  <w:tcW w:w="610" w:type="pct"/>
                  <w:vAlign w:val="center"/>
                </w:tcPr>
                <w:p>
                  <w:pPr>
                    <w:jc w:val="center"/>
                    <w:rPr>
                      <w:color w:val="000000"/>
                      <w:szCs w:val="21"/>
                    </w:rPr>
                  </w:pPr>
                  <w:r>
                    <w:rPr>
                      <w:rFonts w:hint="eastAsia"/>
                      <w:color w:val="000000"/>
                      <w:szCs w:val="21"/>
                    </w:rPr>
                    <w:t>达标</w:t>
                  </w:r>
                </w:p>
              </w:tc>
            </w:tr>
          </w:tbl>
          <w:p>
            <w:pPr>
              <w:spacing w:line="360" w:lineRule="auto"/>
              <w:ind w:firstLine="480" w:firstLineChars="200"/>
              <w:rPr>
                <w:bCs/>
                <w:color w:val="000000"/>
                <w:sz w:val="24"/>
              </w:rPr>
            </w:pPr>
            <w:r>
              <w:rPr>
                <w:bCs/>
                <w:color w:val="000000"/>
                <w:sz w:val="24"/>
              </w:rPr>
              <w:t>由上表预测结果可知，本项目营运期各厂界噪声经采取隔声房密闭隔声、基础减振等降噪措施并经一定距离衰减后，各厂界噪声</w:t>
            </w:r>
            <w:r>
              <w:rPr>
                <w:rFonts w:hint="eastAsia"/>
                <w:bCs/>
                <w:color w:val="000000"/>
                <w:sz w:val="24"/>
              </w:rPr>
              <w:t>预测值</w:t>
            </w:r>
            <w:r>
              <w:rPr>
                <w:bCs/>
                <w:color w:val="000000"/>
                <w:sz w:val="24"/>
              </w:rPr>
              <w:t>为49.3-52.8dB(A)，</w:t>
            </w:r>
            <w:r>
              <w:rPr>
                <w:rFonts w:hint="eastAsia"/>
                <w:bCs/>
                <w:color w:val="000000"/>
                <w:sz w:val="24"/>
              </w:rPr>
              <w:t>项目采用一班制生产，夜班不生产，</w:t>
            </w:r>
            <w:r>
              <w:rPr>
                <w:bCs/>
                <w:color w:val="000000"/>
                <w:sz w:val="24"/>
              </w:rPr>
              <w:t>预测厂界噪声能够满足</w:t>
            </w:r>
            <w:r>
              <w:rPr>
                <w:rFonts w:hint="eastAsia"/>
                <w:bCs/>
                <w:color w:val="000000"/>
                <w:sz w:val="24"/>
              </w:rPr>
              <w:t>《工业企业厂界环境噪声排放标准》（GB12348-2008）2类标准</w:t>
            </w:r>
            <w:r>
              <w:rPr>
                <w:bCs/>
                <w:color w:val="000000"/>
                <w:sz w:val="24"/>
              </w:rPr>
              <w:t>中昼间标准要求。</w:t>
            </w:r>
          </w:p>
          <w:p>
            <w:pPr>
              <w:spacing w:line="360" w:lineRule="auto"/>
              <w:ind w:firstLine="480" w:firstLineChars="200"/>
              <w:rPr>
                <w:bCs/>
                <w:color w:val="000000"/>
                <w:sz w:val="24"/>
              </w:rPr>
            </w:pPr>
            <w:r>
              <w:rPr>
                <w:rFonts w:hint="eastAsia"/>
                <w:bCs/>
                <w:color w:val="000000"/>
                <w:sz w:val="24"/>
              </w:rPr>
              <w:t>本项目</w:t>
            </w:r>
            <w:r>
              <w:rPr>
                <w:bCs/>
                <w:color w:val="000000"/>
                <w:sz w:val="24"/>
              </w:rPr>
              <w:t>对噪声源采取的降噪措施主要有：</w:t>
            </w:r>
          </w:p>
          <w:p>
            <w:pPr>
              <w:spacing w:line="360" w:lineRule="auto"/>
              <w:ind w:firstLine="480" w:firstLineChars="200"/>
              <w:rPr>
                <w:bCs/>
                <w:color w:val="000000"/>
                <w:sz w:val="24"/>
              </w:rPr>
            </w:pPr>
            <w:r>
              <w:rPr>
                <w:bCs/>
                <w:color w:val="000000"/>
                <w:sz w:val="24"/>
              </w:rPr>
              <w:t>①选用同类设备中的低噪声设备，同时对高噪强振设备安装减振装置；</w:t>
            </w:r>
          </w:p>
          <w:p>
            <w:pPr>
              <w:spacing w:line="360" w:lineRule="auto"/>
              <w:ind w:firstLine="480" w:firstLineChars="200"/>
              <w:rPr>
                <w:bCs/>
                <w:color w:val="000000"/>
                <w:sz w:val="24"/>
              </w:rPr>
            </w:pPr>
            <w:r>
              <w:rPr>
                <w:bCs/>
                <w:color w:val="000000"/>
                <w:sz w:val="24"/>
              </w:rPr>
              <w:t>②</w:t>
            </w:r>
            <w:r>
              <w:rPr>
                <w:rFonts w:hint="eastAsia"/>
                <w:bCs/>
                <w:color w:val="000000"/>
                <w:sz w:val="24"/>
              </w:rPr>
              <w:t>主要生产设备</w:t>
            </w:r>
            <w:r>
              <w:rPr>
                <w:bCs/>
                <w:color w:val="000000"/>
                <w:sz w:val="24"/>
              </w:rPr>
              <w:t>加强保养；</w:t>
            </w:r>
          </w:p>
          <w:p>
            <w:pPr>
              <w:spacing w:line="360" w:lineRule="auto"/>
              <w:ind w:firstLine="480" w:firstLineChars="200"/>
              <w:rPr>
                <w:bCs/>
                <w:color w:val="000000"/>
                <w:sz w:val="24"/>
              </w:rPr>
            </w:pPr>
            <w:r>
              <w:rPr>
                <w:bCs/>
                <w:color w:val="000000"/>
                <w:sz w:val="24"/>
              </w:rPr>
              <w:t>③优化厂区平面布置图，将较大声源</w:t>
            </w:r>
            <w:r>
              <w:rPr>
                <w:rFonts w:hint="eastAsia"/>
                <w:bCs/>
                <w:color w:val="000000"/>
                <w:sz w:val="24"/>
              </w:rPr>
              <w:t>尽量</w:t>
            </w:r>
            <w:r>
              <w:rPr>
                <w:bCs/>
                <w:color w:val="000000"/>
                <w:sz w:val="24"/>
              </w:rPr>
              <w:t>布置在</w:t>
            </w:r>
            <w:r>
              <w:rPr>
                <w:rFonts w:hint="eastAsia"/>
                <w:bCs/>
                <w:color w:val="000000"/>
                <w:sz w:val="24"/>
              </w:rPr>
              <w:t>厂区中心位置</w:t>
            </w:r>
            <w:r>
              <w:rPr>
                <w:bCs/>
                <w:color w:val="000000"/>
                <w:sz w:val="24"/>
              </w:rPr>
              <w:t>处。</w:t>
            </w:r>
          </w:p>
          <w:p>
            <w:pPr>
              <w:spacing w:line="360" w:lineRule="auto"/>
              <w:ind w:firstLine="480" w:firstLineChars="200"/>
              <w:rPr>
                <w:bCs/>
                <w:color w:val="000000"/>
                <w:sz w:val="24"/>
              </w:rPr>
            </w:pPr>
            <w:r>
              <w:rPr>
                <w:bCs/>
                <w:color w:val="000000"/>
                <w:sz w:val="24"/>
              </w:rPr>
              <w:t>经采取上述防治措施以及距离衰减后，厂界噪声符合</w:t>
            </w:r>
            <w:r>
              <w:rPr>
                <w:rFonts w:hint="eastAsia"/>
                <w:bCs/>
                <w:color w:val="000000"/>
                <w:sz w:val="24"/>
              </w:rPr>
              <w:t>《工业企业厂界环境噪声排放标准》（GB12348-2008）2类标准</w:t>
            </w:r>
            <w:r>
              <w:rPr>
                <w:bCs/>
                <w:color w:val="000000"/>
                <w:sz w:val="24"/>
              </w:rPr>
              <w:t>要求，因此项目噪声对周边环境的影响较小。</w:t>
            </w:r>
          </w:p>
          <w:p>
            <w:pPr>
              <w:numPr>
                <w:ilvl w:val="0"/>
                <w:numId w:val="7"/>
              </w:numPr>
              <w:spacing w:line="360" w:lineRule="auto"/>
              <w:ind w:firstLine="200"/>
              <w:rPr>
                <w:bCs/>
                <w:color w:val="000000"/>
                <w:sz w:val="24"/>
              </w:rPr>
            </w:pPr>
            <w:r>
              <w:rPr>
                <w:rFonts w:hint="eastAsia"/>
                <w:bCs/>
                <w:color w:val="000000"/>
                <w:sz w:val="24"/>
              </w:rPr>
              <w:t>监测要求</w:t>
            </w:r>
          </w:p>
          <w:p>
            <w:pPr>
              <w:spacing w:line="360" w:lineRule="auto"/>
              <w:ind w:firstLine="480" w:firstLineChars="200"/>
              <w:rPr>
                <w:bCs/>
                <w:color w:val="000000"/>
                <w:sz w:val="24"/>
              </w:rPr>
            </w:pPr>
            <w:r>
              <w:rPr>
                <w:rFonts w:hint="eastAsia"/>
                <w:bCs/>
                <w:color w:val="000000"/>
                <w:sz w:val="24"/>
              </w:rPr>
              <w:t>本次环评要求项目厂界噪声定期委托有资质单位监测，具体监测要求如下：</w:t>
            </w:r>
          </w:p>
          <w:p>
            <w:pPr>
              <w:spacing w:line="460" w:lineRule="exact"/>
              <w:ind w:firstLine="540"/>
              <w:jc w:val="center"/>
              <w:rPr>
                <w:rFonts w:eastAsia="黑体"/>
                <w:color w:val="000000"/>
                <w:sz w:val="24"/>
              </w:rPr>
            </w:pPr>
            <w:r>
              <w:rPr>
                <w:rFonts w:hint="eastAsia" w:eastAsia="黑体"/>
                <w:color w:val="000000"/>
                <w:sz w:val="24"/>
              </w:rPr>
              <w:t>表4-</w:t>
            </w:r>
            <w:r>
              <w:rPr>
                <w:rFonts w:hint="eastAsia" w:eastAsia="黑体"/>
                <w:color w:val="000000"/>
                <w:sz w:val="24"/>
                <w:lang w:val="en-US" w:eastAsia="zh-CN"/>
              </w:rPr>
              <w:t>12</w:t>
            </w:r>
            <w:r>
              <w:rPr>
                <w:rFonts w:eastAsia="黑体"/>
                <w:color w:val="000000"/>
                <w:sz w:val="24"/>
              </w:rPr>
              <w:t xml:space="preserve">   </w:t>
            </w:r>
            <w:r>
              <w:rPr>
                <w:rFonts w:hint="eastAsia" w:eastAsia="黑体"/>
                <w:color w:val="000000"/>
                <w:sz w:val="24"/>
              </w:rPr>
              <w:t>厂界运营期噪声监测计划</w:t>
            </w:r>
          </w:p>
          <w:tbl>
            <w:tblPr>
              <w:tblStyle w:val="1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1469"/>
              <w:gridCol w:w="2407"/>
              <w:gridCol w:w="22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kern w:val="0"/>
                      <w:szCs w:val="21"/>
                    </w:rPr>
                    <w:t>类别</w:t>
                  </w:r>
                </w:p>
              </w:tc>
              <w:tc>
                <w:tcPr>
                  <w:tcW w:w="9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kern w:val="0"/>
                      <w:szCs w:val="21"/>
                    </w:rPr>
                    <w:t>监测点位</w:t>
                  </w:r>
                </w:p>
              </w:tc>
              <w:tc>
                <w:tcPr>
                  <w:tcW w:w="151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kern w:val="0"/>
                      <w:szCs w:val="21"/>
                    </w:rPr>
                    <w:t>监测项目</w:t>
                  </w: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rFonts w:hint="eastAsia"/>
                      <w:kern w:val="0"/>
                      <w:szCs w:val="21"/>
                    </w:rPr>
                    <w:t>监测</w:t>
                  </w:r>
                  <w:r>
                    <w:rPr>
                      <w:kern w:val="0"/>
                      <w:szCs w:val="21"/>
                    </w:rPr>
                    <w:t>频次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4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kern w:val="0"/>
                      <w:szCs w:val="21"/>
                    </w:rPr>
                    <w:t>噪声</w:t>
                  </w:r>
                </w:p>
              </w:tc>
              <w:tc>
                <w:tcPr>
                  <w:tcW w:w="92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kern w:val="0"/>
                      <w:szCs w:val="21"/>
                    </w:rPr>
                    <w:t>四周厂界</w:t>
                  </w:r>
                </w:p>
              </w:tc>
              <w:tc>
                <w:tcPr>
                  <w:tcW w:w="151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kern w:val="0"/>
                      <w:szCs w:val="21"/>
                    </w:rPr>
                  </w:pPr>
                  <w:r>
                    <w:rPr>
                      <w:kern w:val="0"/>
                      <w:szCs w:val="21"/>
                    </w:rPr>
                    <w:t>昼夜等效连续 A 声级</w:t>
                  </w:r>
                </w:p>
              </w:tc>
              <w:tc>
                <w:tcPr>
                  <w:tcW w:w="1413" w:type="pct"/>
                  <w:vAlign w:val="center"/>
                </w:tcPr>
                <w:p>
                  <w:pPr>
                    <w:widowControl/>
                    <w:adjustRightInd w:val="0"/>
                    <w:snapToGrid w:val="0"/>
                    <w:spacing w:line="360" w:lineRule="exact"/>
                    <w:jc w:val="center"/>
                    <w:rPr>
                      <w:kern w:val="0"/>
                      <w:szCs w:val="21"/>
                    </w:rPr>
                  </w:pPr>
                  <w:r>
                    <w:rPr>
                      <w:kern w:val="0"/>
                      <w:szCs w:val="21"/>
                    </w:rPr>
                    <w:t>1 年1 次</w:t>
                  </w:r>
                </w:p>
              </w:tc>
            </w:tr>
          </w:tbl>
          <w:p>
            <w:pPr>
              <w:numPr>
                <w:ilvl w:val="0"/>
                <w:numId w:val="4"/>
              </w:numPr>
              <w:adjustRightInd w:val="0"/>
              <w:snapToGrid w:val="0"/>
              <w:spacing w:line="360" w:lineRule="auto"/>
              <w:ind w:hanging="357"/>
              <w:rPr>
                <w:b/>
                <w:color w:val="000000"/>
                <w:sz w:val="24"/>
              </w:rPr>
            </w:pPr>
            <w:r>
              <w:rPr>
                <w:rFonts w:hint="eastAsia" w:hAnsi="宋体"/>
                <w:b/>
                <w:bCs/>
                <w:sz w:val="24"/>
                <w:szCs w:val="22"/>
              </w:rPr>
              <w:t>地下</w:t>
            </w:r>
            <w:r>
              <w:rPr>
                <w:rFonts w:hAnsi="宋体"/>
                <w:b/>
                <w:bCs/>
                <w:sz w:val="24"/>
                <w:szCs w:val="22"/>
              </w:rPr>
              <w:t>水环境影响分析</w:t>
            </w:r>
          </w:p>
          <w:p>
            <w:pPr>
              <w:spacing w:line="360" w:lineRule="auto"/>
              <w:ind w:firstLine="480" w:firstLineChars="200"/>
              <w:rPr>
                <w:sz w:val="24"/>
                <w:lang w:bidi="ar"/>
              </w:rPr>
            </w:pPr>
            <w:r>
              <w:rPr>
                <w:sz w:val="24"/>
                <w:lang w:bidi="ar"/>
              </w:rPr>
              <w:t>地下水</w:t>
            </w:r>
            <w:r>
              <w:rPr>
                <w:sz w:val="24"/>
              </w:rPr>
              <w:t>影响</w:t>
            </w:r>
            <w:r>
              <w:rPr>
                <w:sz w:val="24"/>
                <w:lang w:bidi="ar"/>
              </w:rPr>
              <w:t>途径分析</w:t>
            </w:r>
          </w:p>
          <w:p>
            <w:pPr>
              <w:spacing w:line="360" w:lineRule="auto"/>
              <w:ind w:firstLine="480" w:firstLineChars="200"/>
              <w:rPr>
                <w:sz w:val="24"/>
                <w:lang w:bidi="ar"/>
              </w:rPr>
            </w:pPr>
            <w:r>
              <w:rPr>
                <w:sz w:val="24"/>
                <w:lang w:bidi="ar"/>
              </w:rPr>
              <w:t>本项目可能对地下水影响途径主要是化粪池和废水、废液渗漏导致地下水污染。若上述情况发生，在无环保措施的情况下，地下水将会受到污染。</w:t>
            </w:r>
          </w:p>
          <w:p>
            <w:pPr>
              <w:spacing w:line="360" w:lineRule="auto"/>
              <w:ind w:firstLine="480" w:firstLineChars="200"/>
              <w:rPr>
                <w:sz w:val="24"/>
                <w:lang w:bidi="ar"/>
              </w:rPr>
            </w:pPr>
            <w:r>
              <w:rPr>
                <w:sz w:val="24"/>
                <w:lang w:bidi="ar"/>
              </w:rPr>
              <w:t>②地下水环境保护措施</w:t>
            </w:r>
          </w:p>
          <w:p>
            <w:pPr>
              <w:spacing w:line="360" w:lineRule="auto"/>
              <w:ind w:firstLine="480" w:firstLineChars="200"/>
              <w:rPr>
                <w:sz w:val="24"/>
                <w:lang w:bidi="ar"/>
              </w:rPr>
            </w:pPr>
            <w:r>
              <w:rPr>
                <w:sz w:val="24"/>
                <w:lang w:bidi="ar"/>
              </w:rPr>
              <w:t>项目采取以下环保措施防止地下水的污染：</w:t>
            </w:r>
          </w:p>
          <w:p>
            <w:pPr>
              <w:spacing w:line="360" w:lineRule="auto"/>
              <w:ind w:firstLine="480" w:firstLineChars="200"/>
              <w:rPr>
                <w:sz w:val="24"/>
                <w:lang w:bidi="ar"/>
              </w:rPr>
            </w:pPr>
            <w:r>
              <w:rPr>
                <w:rFonts w:hint="eastAsia"/>
                <w:sz w:val="24"/>
                <w:lang w:bidi="ar"/>
              </w:rPr>
              <w:t>1）源头控制</w:t>
            </w:r>
          </w:p>
          <w:p>
            <w:pPr>
              <w:spacing w:line="360" w:lineRule="auto"/>
              <w:ind w:firstLine="480" w:firstLineChars="200"/>
              <w:rPr>
                <w:sz w:val="24"/>
                <w:lang w:bidi="ar"/>
              </w:rPr>
            </w:pPr>
            <w:r>
              <w:rPr>
                <w:rFonts w:hint="eastAsia"/>
                <w:sz w:val="24"/>
                <w:lang w:bidi="ar"/>
              </w:rPr>
              <w:t>对厂区可能产生污染和泄露下渗的场地进行防渗处理</w:t>
            </w:r>
          </w:p>
          <w:p>
            <w:pPr>
              <w:spacing w:line="360" w:lineRule="auto"/>
              <w:ind w:firstLine="480" w:firstLineChars="200"/>
              <w:rPr>
                <w:sz w:val="24"/>
                <w:lang w:bidi="ar"/>
              </w:rPr>
            </w:pPr>
            <w:r>
              <w:rPr>
                <w:rFonts w:hint="eastAsia"/>
                <w:sz w:val="24"/>
                <w:lang w:bidi="ar"/>
              </w:rPr>
              <w:t>2）分区防治</w:t>
            </w:r>
          </w:p>
          <w:p>
            <w:pPr>
              <w:spacing w:line="360" w:lineRule="auto"/>
              <w:ind w:firstLine="480" w:firstLineChars="200"/>
              <w:rPr>
                <w:sz w:val="24"/>
                <w:lang w:bidi="ar"/>
              </w:rPr>
            </w:pPr>
            <w:r>
              <w:rPr>
                <w:rFonts w:hint="eastAsia"/>
                <w:sz w:val="24"/>
                <w:lang w:bidi="ar"/>
              </w:rPr>
              <w:t>A、项目防渗分区</w:t>
            </w:r>
          </w:p>
          <w:p>
            <w:pPr>
              <w:spacing w:line="360" w:lineRule="auto"/>
              <w:ind w:firstLine="480" w:firstLineChars="200"/>
              <w:rPr>
                <w:sz w:val="24"/>
                <w:lang w:bidi="ar"/>
              </w:rPr>
            </w:pPr>
            <w:r>
              <w:rPr>
                <w:rFonts w:hint="eastAsia"/>
                <w:sz w:val="24"/>
                <w:lang w:bidi="ar"/>
              </w:rPr>
              <w:t>按照分区防渗的划分原则：没有物料或污染物泄漏、不会对地下水环境造成污染的区域或部位属于非污染防治区；污染地下水环境的物料或污染物泄漏后可及时发现和处理的区域和部位属于一般污染防治区；化粪池及生产功能单元，污染地下水环境的物料或污染物泄漏后，不易及时发现和处理的区域或部位属于重点污染防治区。</w:t>
            </w:r>
          </w:p>
          <w:p>
            <w:pPr>
              <w:spacing w:line="360" w:lineRule="auto"/>
              <w:ind w:firstLine="480" w:firstLineChars="200"/>
              <w:rPr>
                <w:sz w:val="24"/>
                <w:lang w:bidi="ar"/>
              </w:rPr>
            </w:pPr>
            <w:r>
              <w:rPr>
                <w:rFonts w:hint="eastAsia"/>
                <w:sz w:val="24"/>
                <w:lang w:bidi="ar"/>
              </w:rPr>
              <w:t>项目化粪池划分为重点防渗区域。</w:t>
            </w:r>
          </w:p>
          <w:p>
            <w:pPr>
              <w:spacing w:line="360" w:lineRule="auto"/>
              <w:ind w:firstLine="480" w:firstLineChars="200"/>
              <w:rPr>
                <w:sz w:val="24"/>
                <w:lang w:bidi="ar"/>
              </w:rPr>
            </w:pPr>
            <w:r>
              <w:rPr>
                <w:rFonts w:hint="eastAsia"/>
                <w:sz w:val="24"/>
                <w:lang w:bidi="ar"/>
              </w:rPr>
              <w:t>B、本项目防渗措施</w:t>
            </w:r>
          </w:p>
          <w:p>
            <w:pPr>
              <w:spacing w:line="360" w:lineRule="auto"/>
              <w:ind w:firstLine="480" w:firstLineChars="200"/>
              <w:rPr>
                <w:sz w:val="24"/>
                <w:lang w:bidi="ar"/>
              </w:rPr>
            </w:pPr>
            <w:r>
              <w:rPr>
                <w:rFonts w:hint="eastAsia"/>
                <w:sz w:val="24"/>
                <w:lang w:bidi="ar"/>
              </w:rPr>
              <w:t>厂区内地面均采用混凝土硬化，无裸露土壤层，生产厂房地面均采用以混凝土搅拌压实地坪进行基础防渗。具体介绍如下：</w:t>
            </w:r>
          </w:p>
          <w:p>
            <w:pPr>
              <w:spacing w:line="360" w:lineRule="auto"/>
              <w:ind w:firstLine="480" w:firstLineChars="200"/>
              <w:rPr>
                <w:sz w:val="24"/>
                <w:lang w:bidi="ar"/>
              </w:rPr>
            </w:pPr>
            <w:r>
              <w:rPr>
                <w:rFonts w:hint="eastAsia"/>
                <w:sz w:val="24"/>
                <w:lang w:bidi="ar"/>
              </w:rPr>
              <w:t>一般防渗区：生产厂房地面采用混凝土基础防渗。</w:t>
            </w:r>
          </w:p>
          <w:p>
            <w:pPr>
              <w:spacing w:line="360" w:lineRule="auto"/>
              <w:ind w:firstLine="480" w:firstLineChars="200"/>
              <w:rPr>
                <w:sz w:val="24"/>
                <w:lang w:bidi="ar"/>
              </w:rPr>
            </w:pPr>
            <w:r>
              <w:rPr>
                <w:rFonts w:hint="eastAsia"/>
                <w:sz w:val="24"/>
                <w:lang w:bidi="ar"/>
              </w:rPr>
              <w:t>重点防渗区：项目化粪池主要为混凝土防渗基础+防腐蚀涂层+防渗管道。</w:t>
            </w:r>
          </w:p>
          <w:p>
            <w:pPr>
              <w:spacing w:line="360" w:lineRule="auto"/>
              <w:ind w:firstLine="480" w:firstLineChars="200"/>
              <w:rPr>
                <w:sz w:val="24"/>
                <w:lang w:bidi="ar"/>
              </w:rPr>
            </w:pPr>
            <w:r>
              <w:rPr>
                <w:rFonts w:hint="eastAsia"/>
                <w:sz w:val="24"/>
                <w:lang w:bidi="ar"/>
              </w:rPr>
              <w:t>除加强防渗外，还应采取在生产过程中加强管理，严防跑、冒、滴、漏等现象的发生；在采取以上防渗措施后，将大大降低项目污染物的地下渗漏风险，对地下水环境影响较小。</w:t>
            </w:r>
          </w:p>
          <w:p>
            <w:pPr>
              <w:spacing w:line="360" w:lineRule="auto"/>
              <w:ind w:firstLine="480" w:firstLineChars="200"/>
              <w:rPr>
                <w:sz w:val="24"/>
              </w:rPr>
            </w:pPr>
            <w:r>
              <w:rPr>
                <w:rFonts w:hint="eastAsia"/>
                <w:sz w:val="24"/>
                <w:lang w:bidi="ar"/>
              </w:rPr>
              <w:t>综上所述，项目不会对周围水环境造成污染影响。</w:t>
            </w:r>
          </w:p>
          <w:p>
            <w:pPr>
              <w:numPr>
                <w:ilvl w:val="0"/>
                <w:numId w:val="4"/>
              </w:numPr>
              <w:adjustRightInd w:val="0"/>
              <w:snapToGrid w:val="0"/>
              <w:spacing w:line="360" w:lineRule="auto"/>
              <w:ind w:hanging="357"/>
              <w:rPr>
                <w:b/>
                <w:sz w:val="24"/>
              </w:rPr>
            </w:pPr>
            <w:r>
              <w:rPr>
                <w:rFonts w:hint="eastAsia" w:hAnsi="宋体"/>
                <w:b/>
                <w:bCs/>
                <w:sz w:val="24"/>
                <w:szCs w:val="22"/>
              </w:rPr>
              <w:t>土壤</w:t>
            </w:r>
            <w:r>
              <w:rPr>
                <w:rFonts w:hAnsi="宋体"/>
                <w:b/>
                <w:bCs/>
                <w:sz w:val="24"/>
                <w:szCs w:val="22"/>
              </w:rPr>
              <w:t>环境影响分析</w:t>
            </w:r>
          </w:p>
          <w:p>
            <w:pPr>
              <w:spacing w:line="360" w:lineRule="auto"/>
              <w:ind w:firstLine="480" w:firstLineChars="200"/>
              <w:rPr>
                <w:sz w:val="24"/>
              </w:rPr>
            </w:pPr>
            <w:r>
              <w:rPr>
                <w:rFonts w:hint="eastAsia"/>
                <w:sz w:val="24"/>
                <w:lang w:val="en-US" w:eastAsia="zh-CN"/>
              </w:rPr>
              <w:t>本项目</w:t>
            </w:r>
            <w:r>
              <w:rPr>
                <w:rFonts w:hint="eastAsia"/>
                <w:sz w:val="24"/>
              </w:rPr>
              <w:t>只涉及废钢材的破碎分选，不涉及废机油，废润滑油，废燃料油，不存在污染土壤的途径</w:t>
            </w:r>
            <w:r>
              <w:rPr>
                <w:rFonts w:hint="eastAsia"/>
                <w:sz w:val="24"/>
                <w:lang w:eastAsia="zh-CN"/>
              </w:rPr>
              <w:t>，</w:t>
            </w:r>
            <w:r>
              <w:rPr>
                <w:sz w:val="24"/>
              </w:rPr>
              <w:t>项目应采取如下土壤污染控制措施：</w:t>
            </w:r>
          </w:p>
          <w:p>
            <w:pPr>
              <w:spacing w:line="360" w:lineRule="auto"/>
              <w:ind w:firstLine="480" w:firstLineChars="200"/>
              <w:rPr>
                <w:sz w:val="24"/>
              </w:rPr>
            </w:pPr>
            <w:r>
              <w:rPr>
                <w:sz w:val="24"/>
              </w:rPr>
              <w:t>①应当建立土壤和地下水污染隐患排查治理制度，定期对重点区域、重点设施开展隐患排查。发现污染隐患的，应当制定整改方案，及时采取技术、管理措施消除隐患。隐患排查、治理情况应当如实记录并建立档案。</w:t>
            </w:r>
          </w:p>
          <w:p>
            <w:pPr>
              <w:spacing w:line="360" w:lineRule="auto"/>
              <w:ind w:firstLine="480" w:firstLineChars="200"/>
              <w:rPr>
                <w:sz w:val="24"/>
              </w:rPr>
            </w:pPr>
            <w:r>
              <w:rPr>
                <w:sz w:val="24"/>
              </w:rPr>
              <w:t>②应当按照相关技术规范要求，自行或者委托第三方定期开展土壤和地下水监测， 重点监测存在污染隐患的区域和设施周边的土壤、地下水，并按照规定公开相关信息。</w:t>
            </w:r>
          </w:p>
          <w:p>
            <w:pPr>
              <w:spacing w:line="360" w:lineRule="auto"/>
              <w:ind w:firstLine="480" w:firstLineChars="200"/>
              <w:rPr>
                <w:sz w:val="24"/>
              </w:rPr>
            </w:pPr>
            <w:r>
              <w:rPr>
                <w:sz w:val="24"/>
              </w:rPr>
              <w:t>③在隐患排查、监测等活动中发现工矿用地土壤和地下水存在污染迹象的，应当排查污染源，查明污染原因，采取措施防止新增污染，并参照污染地块土壤环境管理有关规定及时开展土壤和地下水环境调查与风险评估，根据调查与风险评估结果采取风险管控或者治理与修复等措施。</w:t>
            </w:r>
          </w:p>
          <w:p>
            <w:pPr>
              <w:spacing w:line="360" w:lineRule="auto"/>
              <w:ind w:firstLine="480" w:firstLineChars="200"/>
              <w:rPr>
                <w:color w:val="FF0000"/>
                <w:sz w:val="24"/>
              </w:rPr>
            </w:pPr>
            <w:r>
              <w:rPr>
                <w:sz w:val="24"/>
              </w:rPr>
              <w:t>本项目在确保所产生的固废全部妥善安全处置，对土壤环境影响不大。</w:t>
            </w:r>
          </w:p>
          <w:p>
            <w:pPr>
              <w:numPr>
                <w:ilvl w:val="0"/>
                <w:numId w:val="4"/>
              </w:numPr>
              <w:adjustRightInd w:val="0"/>
              <w:snapToGrid w:val="0"/>
              <w:spacing w:line="360" w:lineRule="auto"/>
              <w:ind w:hanging="357"/>
              <w:rPr>
                <w:rFonts w:hAnsi="宋体"/>
                <w:b/>
                <w:bCs/>
                <w:sz w:val="24"/>
                <w:szCs w:val="22"/>
              </w:rPr>
            </w:pPr>
            <w:r>
              <w:rPr>
                <w:rFonts w:hint="eastAsia" w:hAnsi="宋体"/>
                <w:b/>
                <w:bCs/>
                <w:sz w:val="24"/>
                <w:szCs w:val="22"/>
              </w:rPr>
              <w:t>环保投资</w:t>
            </w:r>
          </w:p>
          <w:p>
            <w:pPr>
              <w:spacing w:line="360" w:lineRule="auto"/>
              <w:ind w:firstLine="480" w:firstLineChars="200"/>
              <w:jc w:val="left"/>
              <w:rPr>
                <w:rFonts w:eastAsia="黑体"/>
                <w:bCs/>
                <w:sz w:val="24"/>
              </w:rPr>
            </w:pPr>
            <w:r>
              <w:rPr>
                <w:sz w:val="24"/>
              </w:rPr>
              <w:t>本项目环保投资</w:t>
            </w:r>
            <w:r>
              <w:rPr>
                <w:rFonts w:hint="eastAsia"/>
                <w:sz w:val="24"/>
              </w:rPr>
              <w:t>3.5</w:t>
            </w:r>
            <w:r>
              <w:rPr>
                <w:sz w:val="24"/>
              </w:rPr>
              <w:t>万元，</w:t>
            </w:r>
            <w:r>
              <w:rPr>
                <w:color w:val="000000"/>
                <w:sz w:val="24"/>
              </w:rPr>
              <w:t>占项目总投资</w:t>
            </w:r>
            <w:r>
              <w:rPr>
                <w:rFonts w:hint="eastAsia"/>
                <w:sz w:val="24"/>
              </w:rPr>
              <w:t>30</w:t>
            </w:r>
            <w:r>
              <w:rPr>
                <w:sz w:val="24"/>
              </w:rPr>
              <w:t>万元的</w:t>
            </w:r>
            <w:r>
              <w:rPr>
                <w:rFonts w:hint="eastAsia"/>
                <w:sz w:val="24"/>
              </w:rPr>
              <w:t>12</w:t>
            </w:r>
            <w:r>
              <w:rPr>
                <w:sz w:val="24"/>
              </w:rPr>
              <w:t>%。环保设施主要用于废气治理、废水处理、噪声防治、固体废物暂存等。本项目环保投资一览表详见</w:t>
            </w:r>
            <w:r>
              <w:rPr>
                <w:rFonts w:hint="eastAsia"/>
                <w:sz w:val="24"/>
              </w:rPr>
              <w:t>下表。</w:t>
            </w:r>
          </w:p>
          <w:p>
            <w:pPr>
              <w:spacing w:line="520" w:lineRule="exact"/>
              <w:jc w:val="center"/>
              <w:rPr>
                <w:rFonts w:eastAsia="黑体"/>
                <w:bCs/>
                <w:sz w:val="24"/>
              </w:rPr>
            </w:pPr>
            <w:r>
              <w:rPr>
                <w:rFonts w:eastAsia="黑体"/>
                <w:bCs/>
                <w:sz w:val="24"/>
              </w:rPr>
              <w:t>表</w:t>
            </w:r>
            <w:r>
              <w:rPr>
                <w:rFonts w:hint="eastAsia" w:eastAsia="黑体"/>
                <w:bCs/>
                <w:sz w:val="24"/>
              </w:rPr>
              <w:t>4-</w:t>
            </w:r>
            <w:r>
              <w:rPr>
                <w:rFonts w:hint="eastAsia" w:eastAsia="黑体"/>
                <w:bCs/>
                <w:sz w:val="24"/>
                <w:lang w:val="en-US" w:eastAsia="zh-CN"/>
              </w:rPr>
              <w:t>13</w:t>
            </w:r>
            <w:r>
              <w:rPr>
                <w:rFonts w:hint="eastAsia" w:eastAsia="黑体"/>
                <w:bCs/>
                <w:sz w:val="24"/>
              </w:rPr>
              <w:t xml:space="preserve">  </w:t>
            </w:r>
            <w:r>
              <w:rPr>
                <w:rFonts w:eastAsia="黑体"/>
                <w:bCs/>
                <w:sz w:val="24"/>
              </w:rPr>
              <w:t xml:space="preserve"> 本项目环保投资一览表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4904"/>
              <w:gridCol w:w="805"/>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782" w:type="pct"/>
                  <w:vAlign w:val="center"/>
                </w:tcPr>
                <w:p>
                  <w:pPr>
                    <w:jc w:val="center"/>
                    <w:rPr>
                      <w:b/>
                      <w:szCs w:val="21"/>
                    </w:rPr>
                  </w:pPr>
                  <w:r>
                    <w:rPr>
                      <w:b/>
                      <w:szCs w:val="21"/>
                    </w:rPr>
                    <w:t>项目</w:t>
                  </w:r>
                </w:p>
              </w:tc>
              <w:tc>
                <w:tcPr>
                  <w:tcW w:w="3090" w:type="pct"/>
                  <w:vAlign w:val="center"/>
                </w:tcPr>
                <w:p>
                  <w:pPr>
                    <w:jc w:val="center"/>
                    <w:rPr>
                      <w:b/>
                      <w:szCs w:val="21"/>
                    </w:rPr>
                  </w:pPr>
                  <w:r>
                    <w:rPr>
                      <w:b/>
                      <w:szCs w:val="21"/>
                    </w:rPr>
                    <w:t>治理措施</w:t>
                  </w:r>
                </w:p>
              </w:tc>
              <w:tc>
                <w:tcPr>
                  <w:tcW w:w="507" w:type="pct"/>
                  <w:vAlign w:val="center"/>
                </w:tcPr>
                <w:p>
                  <w:pPr>
                    <w:jc w:val="center"/>
                    <w:rPr>
                      <w:b/>
                      <w:szCs w:val="21"/>
                    </w:rPr>
                  </w:pPr>
                  <w:r>
                    <w:rPr>
                      <w:b/>
                      <w:szCs w:val="21"/>
                    </w:rPr>
                    <w:t>数量</w:t>
                  </w:r>
                </w:p>
              </w:tc>
              <w:tc>
                <w:tcPr>
                  <w:tcW w:w="621" w:type="pct"/>
                  <w:vAlign w:val="center"/>
                </w:tcPr>
                <w:p>
                  <w:pPr>
                    <w:jc w:val="center"/>
                    <w:rPr>
                      <w:b/>
                      <w:szCs w:val="21"/>
                    </w:rPr>
                  </w:pPr>
                  <w:r>
                    <w:rPr>
                      <w:b/>
                      <w:szCs w:val="21"/>
                    </w:rPr>
                    <w:t>总投资</w:t>
                  </w:r>
                  <w:r>
                    <w:rPr>
                      <w:rFonts w:hint="eastAsia"/>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782" w:type="pct"/>
                  <w:vAlign w:val="center"/>
                </w:tcPr>
                <w:p>
                  <w:pPr>
                    <w:jc w:val="center"/>
                    <w:rPr>
                      <w:szCs w:val="21"/>
                    </w:rPr>
                  </w:pPr>
                  <w:r>
                    <w:rPr>
                      <w:rFonts w:hint="eastAsia"/>
                      <w:szCs w:val="21"/>
                    </w:rPr>
                    <w:t>废水</w:t>
                  </w:r>
                </w:p>
              </w:tc>
              <w:tc>
                <w:tcPr>
                  <w:tcW w:w="3090" w:type="pct"/>
                  <w:vAlign w:val="center"/>
                </w:tcPr>
                <w:p>
                  <w:pPr>
                    <w:jc w:val="center"/>
                    <w:rPr>
                      <w:szCs w:val="21"/>
                    </w:rPr>
                  </w:pPr>
                  <w:r>
                    <w:rPr>
                      <w:rFonts w:hint="eastAsia"/>
                      <w:bCs/>
                      <w:szCs w:val="21"/>
                    </w:rPr>
                    <w:t>1座化粪池（现有）</w:t>
                  </w:r>
                </w:p>
              </w:tc>
              <w:tc>
                <w:tcPr>
                  <w:tcW w:w="507" w:type="pct"/>
                  <w:vAlign w:val="center"/>
                </w:tcPr>
                <w:p>
                  <w:pPr>
                    <w:jc w:val="center"/>
                    <w:rPr>
                      <w:szCs w:val="21"/>
                    </w:rPr>
                  </w:pPr>
                  <w:r>
                    <w:rPr>
                      <w:rFonts w:hint="eastAsia"/>
                      <w:szCs w:val="21"/>
                    </w:rPr>
                    <w:t>1座</w:t>
                  </w:r>
                </w:p>
              </w:tc>
              <w:tc>
                <w:tcPr>
                  <w:tcW w:w="621" w:type="pct"/>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blHeader/>
                <w:jc w:val="center"/>
              </w:trPr>
              <w:tc>
                <w:tcPr>
                  <w:tcW w:w="782" w:type="pct"/>
                  <w:vAlign w:val="center"/>
                </w:tcPr>
                <w:p>
                  <w:pPr>
                    <w:ind w:left="-105" w:leftChars="-50" w:right="-105" w:rightChars="-50"/>
                    <w:jc w:val="center"/>
                    <w:rPr>
                      <w:bCs/>
                      <w:szCs w:val="21"/>
                    </w:rPr>
                  </w:pPr>
                  <w:r>
                    <w:rPr>
                      <w:bCs/>
                      <w:szCs w:val="21"/>
                    </w:rPr>
                    <w:t>废气治理</w:t>
                  </w:r>
                </w:p>
              </w:tc>
              <w:tc>
                <w:tcPr>
                  <w:tcW w:w="3090" w:type="pct"/>
                  <w:vAlign w:val="center"/>
                </w:tcPr>
                <w:p>
                  <w:pPr>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1套</w:t>
                  </w:r>
                  <w:r>
                    <w:rPr>
                      <w:rFonts w:hint="eastAsia"/>
                      <w:color w:val="000000" w:themeColor="text1"/>
                      <w:szCs w:val="21"/>
                      <w14:textFill>
                        <w14:solidFill>
                          <w14:schemeClr w14:val="tx1"/>
                        </w14:solidFill>
                      </w14:textFill>
                    </w:rPr>
                    <w:t>旋风袋式除尘器+1根15m高排气筒</w:t>
                  </w:r>
                </w:p>
              </w:tc>
              <w:tc>
                <w:tcPr>
                  <w:tcW w:w="507" w:type="pct"/>
                  <w:vAlign w:val="center"/>
                </w:tcPr>
                <w:p>
                  <w:pPr>
                    <w:jc w:val="center"/>
                    <w:rPr>
                      <w:bCs/>
                      <w:szCs w:val="21"/>
                    </w:rPr>
                  </w:pPr>
                  <w:r>
                    <w:rPr>
                      <w:rFonts w:hint="eastAsia"/>
                      <w:bCs/>
                      <w:szCs w:val="21"/>
                    </w:rPr>
                    <w:t>1套</w:t>
                  </w:r>
                </w:p>
              </w:tc>
              <w:tc>
                <w:tcPr>
                  <w:tcW w:w="621" w:type="pct"/>
                  <w:vAlign w:val="center"/>
                </w:tcPr>
                <w:p>
                  <w:pPr>
                    <w:jc w:val="center"/>
                    <w:rPr>
                      <w:bCs/>
                      <w:szCs w:val="21"/>
                    </w:rPr>
                  </w:pPr>
                  <w:r>
                    <w:rPr>
                      <w:rFonts w:hint="eastAsia"/>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782" w:type="pct"/>
                  <w:vAlign w:val="center"/>
                </w:tcPr>
                <w:p>
                  <w:pPr>
                    <w:jc w:val="center"/>
                    <w:rPr>
                      <w:bCs/>
                      <w:szCs w:val="21"/>
                    </w:rPr>
                  </w:pPr>
                  <w:r>
                    <w:rPr>
                      <w:bCs/>
                      <w:szCs w:val="21"/>
                    </w:rPr>
                    <w:t>噪声治理</w:t>
                  </w:r>
                </w:p>
              </w:tc>
              <w:tc>
                <w:tcPr>
                  <w:tcW w:w="3090" w:type="pct"/>
                  <w:vAlign w:val="center"/>
                </w:tcPr>
                <w:p>
                  <w:pPr>
                    <w:jc w:val="center"/>
                    <w:rPr>
                      <w:bCs/>
                      <w:szCs w:val="21"/>
                    </w:rPr>
                  </w:pPr>
                  <w:r>
                    <w:rPr>
                      <w:bCs/>
                      <w:szCs w:val="21"/>
                    </w:rPr>
                    <w:t>厂房隔声、基础减震等</w:t>
                  </w:r>
                </w:p>
              </w:tc>
              <w:tc>
                <w:tcPr>
                  <w:tcW w:w="507" w:type="pct"/>
                  <w:vAlign w:val="center"/>
                </w:tcPr>
                <w:p>
                  <w:pPr>
                    <w:jc w:val="center"/>
                    <w:rPr>
                      <w:bCs/>
                      <w:szCs w:val="21"/>
                    </w:rPr>
                  </w:pPr>
                  <w:r>
                    <w:rPr>
                      <w:bCs/>
                      <w:szCs w:val="21"/>
                    </w:rPr>
                    <w:t>/</w:t>
                  </w:r>
                </w:p>
              </w:tc>
              <w:tc>
                <w:tcPr>
                  <w:tcW w:w="621" w:type="pct"/>
                  <w:vAlign w:val="center"/>
                </w:tcPr>
                <w:p>
                  <w:pPr>
                    <w:jc w:val="center"/>
                    <w:rPr>
                      <w:bCs/>
                      <w:szCs w:val="21"/>
                    </w:rPr>
                  </w:pPr>
                  <w:r>
                    <w:rPr>
                      <w:rFonts w:hint="eastAsia"/>
                      <w:bCs/>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782" w:type="pct"/>
                  <w:vAlign w:val="center"/>
                </w:tcPr>
                <w:p>
                  <w:pPr>
                    <w:jc w:val="center"/>
                    <w:rPr>
                      <w:bCs/>
                      <w:szCs w:val="21"/>
                    </w:rPr>
                  </w:pPr>
                  <w:r>
                    <w:rPr>
                      <w:bCs/>
                      <w:szCs w:val="21"/>
                    </w:rPr>
                    <w:t>固废治理</w:t>
                  </w:r>
                </w:p>
              </w:tc>
              <w:tc>
                <w:tcPr>
                  <w:tcW w:w="3090" w:type="pct"/>
                  <w:vAlign w:val="center"/>
                </w:tcPr>
                <w:p>
                  <w:pPr>
                    <w:jc w:val="center"/>
                    <w:rPr>
                      <w:bCs/>
                      <w:szCs w:val="21"/>
                    </w:rPr>
                  </w:pPr>
                  <w:r>
                    <w:rPr>
                      <w:rFonts w:hint="eastAsia"/>
                      <w:bCs/>
                      <w:szCs w:val="21"/>
                    </w:rPr>
                    <w:t>1座1</w:t>
                  </w:r>
                  <w:r>
                    <w:rPr>
                      <w:bCs/>
                      <w:szCs w:val="21"/>
                    </w:rPr>
                    <w:t>0m</w:t>
                  </w:r>
                  <w:r>
                    <w:rPr>
                      <w:bCs/>
                      <w:szCs w:val="21"/>
                      <w:vertAlign w:val="superscript"/>
                    </w:rPr>
                    <w:t>2</w:t>
                  </w:r>
                  <w:r>
                    <w:rPr>
                      <w:rFonts w:hint="eastAsia"/>
                      <w:bCs/>
                      <w:szCs w:val="21"/>
                    </w:rPr>
                    <w:t>一般固废暂存间，并设置垃圾桶</w:t>
                  </w:r>
                </w:p>
              </w:tc>
              <w:tc>
                <w:tcPr>
                  <w:tcW w:w="507" w:type="pct"/>
                  <w:vAlign w:val="center"/>
                </w:tcPr>
                <w:p>
                  <w:pPr>
                    <w:jc w:val="center"/>
                    <w:rPr>
                      <w:bCs/>
                      <w:szCs w:val="21"/>
                      <w:lang w:val="zh-CN"/>
                    </w:rPr>
                  </w:pPr>
                  <w:r>
                    <w:rPr>
                      <w:bCs/>
                      <w:szCs w:val="21"/>
                      <w:lang w:val="zh-CN"/>
                    </w:rPr>
                    <w:t>1座</w:t>
                  </w:r>
                </w:p>
              </w:tc>
              <w:tc>
                <w:tcPr>
                  <w:tcW w:w="621" w:type="pct"/>
                  <w:vAlign w:val="center"/>
                </w:tcPr>
                <w:p>
                  <w:pPr>
                    <w:jc w:val="center"/>
                    <w:rPr>
                      <w:bCs/>
                      <w:szCs w:val="21"/>
                    </w:rPr>
                  </w:pPr>
                  <w:r>
                    <w:rPr>
                      <w:rFonts w:hint="eastAsia"/>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4379" w:type="pct"/>
                  <w:gridSpan w:val="3"/>
                  <w:vAlign w:val="center"/>
                </w:tcPr>
                <w:p>
                  <w:pPr>
                    <w:jc w:val="center"/>
                    <w:rPr>
                      <w:bCs/>
                      <w:szCs w:val="21"/>
                      <w:lang w:val="zh-CN"/>
                    </w:rPr>
                  </w:pPr>
                  <w:r>
                    <w:rPr>
                      <w:rFonts w:hint="eastAsia"/>
                      <w:bCs/>
                      <w:szCs w:val="21"/>
                    </w:rPr>
                    <w:t>合计</w:t>
                  </w:r>
                </w:p>
              </w:tc>
              <w:tc>
                <w:tcPr>
                  <w:tcW w:w="621" w:type="pct"/>
                  <w:vAlign w:val="center"/>
                </w:tcPr>
                <w:p>
                  <w:pPr>
                    <w:jc w:val="center"/>
                    <w:rPr>
                      <w:b/>
                      <w:bCs/>
                      <w:szCs w:val="21"/>
                    </w:rPr>
                  </w:pPr>
                  <w:r>
                    <w:rPr>
                      <w:rFonts w:hint="eastAsia"/>
                      <w:b/>
                      <w:bCs/>
                      <w:szCs w:val="21"/>
                    </w:rPr>
                    <w:t>3.5</w:t>
                  </w:r>
                </w:p>
              </w:tc>
            </w:tr>
          </w:tbl>
          <w:p>
            <w:pPr>
              <w:snapToGrid w:val="0"/>
              <w:spacing w:before="120" w:beforeLines="50" w:after="120" w:afterLines="50"/>
              <w:rPr>
                <w:rFonts w:ascii="宋体" w:hAnsi="宋体" w:cs="宋体"/>
                <w:b/>
                <w:bCs/>
                <w:spacing w:val="-10"/>
                <w:sz w:val="24"/>
              </w:rPr>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pStyle w:val="16"/>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2" w:name="_Hlk54167917"/>
      <w:r>
        <w:rPr>
          <w:rFonts w:hint="eastAsia" w:ascii="黑体" w:hAnsi="黑体" w:eastAsia="黑体"/>
          <w:snapToGrid w:val="0"/>
          <w:sz w:val="30"/>
          <w:szCs w:val="30"/>
        </w:rPr>
        <w:t>环境保护措施监督检查清单</w:t>
      </w:r>
      <w:bookmarkEnd w:id="2"/>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981"/>
        <w:gridCol w:w="2268"/>
        <w:gridCol w:w="20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tcPr>
          <w:p>
            <w:pPr>
              <w:adjustRightInd w:val="0"/>
              <w:snapToGrid w:val="0"/>
              <w:ind w:firstLine="840"/>
              <w:rPr>
                <w:rFonts w:ascii="宋体" w:hAnsi="宋体" w:cs="宋体"/>
                <w:szCs w:val="21"/>
              </w:rPr>
            </w:pPr>
            <w:r>
              <w:rPr>
                <w:rFonts w:hint="eastAsia" w:ascii="宋体" w:hAnsi="宋体" w:cs="宋体"/>
                <w:szCs w:val="21"/>
              </w:rPr>
              <w:t>内容</w:t>
            </w:r>
          </w:p>
          <w:p>
            <w:pPr>
              <w:adjustRightInd w:val="0"/>
              <w:snapToGrid w:val="0"/>
              <w:rPr>
                <w:rFonts w:ascii="宋体" w:hAnsi="宋体" w:cs="宋体"/>
                <w:szCs w:val="21"/>
              </w:rPr>
            </w:pPr>
            <w:r>
              <w:rPr>
                <w:rFonts w:hint="eastAsia" w:ascii="宋体" w:hAnsi="宋体" w:cs="宋体"/>
                <w:szCs w:val="21"/>
              </w:rPr>
              <w:t>要素</w:t>
            </w:r>
          </w:p>
        </w:tc>
        <w:tc>
          <w:tcPr>
            <w:tcW w:w="1755" w:type="dxa"/>
            <w:vAlign w:val="center"/>
          </w:tcPr>
          <w:p>
            <w:pPr>
              <w:adjustRightInd w:val="0"/>
              <w:snapToGrid w:val="0"/>
              <w:jc w:val="center"/>
              <w:rPr>
                <w:rFonts w:ascii="宋体" w:hAnsi="宋体" w:cs="宋体"/>
                <w:szCs w:val="21"/>
              </w:rPr>
            </w:pPr>
            <w:r>
              <w:rPr>
                <w:rFonts w:hint="eastAsia" w:ascii="宋体" w:hAnsi="宋体" w:cs="宋体"/>
                <w:szCs w:val="21"/>
              </w:rPr>
              <w:t>排放口(编号、</w:t>
            </w:r>
          </w:p>
          <w:p>
            <w:pPr>
              <w:adjustRightInd w:val="0"/>
              <w:snapToGrid w:val="0"/>
              <w:jc w:val="center"/>
              <w:rPr>
                <w:rFonts w:ascii="宋体" w:hAnsi="宋体" w:cs="宋体"/>
                <w:szCs w:val="21"/>
              </w:rPr>
            </w:pPr>
            <w:r>
              <w:rPr>
                <w:rFonts w:hint="eastAsia" w:ascii="宋体" w:hAnsi="宋体" w:cs="宋体"/>
                <w:szCs w:val="21"/>
              </w:rPr>
              <w:t>名称)/污染源</w:t>
            </w:r>
          </w:p>
        </w:tc>
        <w:tc>
          <w:tcPr>
            <w:tcW w:w="981" w:type="dxa"/>
            <w:vAlign w:val="center"/>
          </w:tcPr>
          <w:p>
            <w:pPr>
              <w:adjustRightInd w:val="0"/>
              <w:snapToGrid w:val="0"/>
              <w:jc w:val="center"/>
              <w:rPr>
                <w:rFonts w:ascii="宋体" w:hAnsi="宋体" w:cs="宋体"/>
                <w:szCs w:val="21"/>
              </w:rPr>
            </w:pPr>
            <w:r>
              <w:rPr>
                <w:rFonts w:hint="eastAsia" w:ascii="宋体" w:hAnsi="宋体" w:cs="宋体"/>
                <w:szCs w:val="21"/>
              </w:rPr>
              <w:t>污染物</w:t>
            </w:r>
          </w:p>
          <w:p>
            <w:pPr>
              <w:adjustRightInd w:val="0"/>
              <w:snapToGrid w:val="0"/>
              <w:jc w:val="center"/>
              <w:rPr>
                <w:rFonts w:ascii="宋体" w:hAnsi="宋体" w:cs="宋体"/>
                <w:szCs w:val="21"/>
              </w:rPr>
            </w:pPr>
            <w:r>
              <w:rPr>
                <w:rFonts w:hint="eastAsia" w:ascii="宋体" w:hAnsi="宋体" w:cs="宋体"/>
                <w:szCs w:val="21"/>
              </w:rPr>
              <w:t>项目</w:t>
            </w:r>
          </w:p>
        </w:tc>
        <w:tc>
          <w:tcPr>
            <w:tcW w:w="2268" w:type="dxa"/>
            <w:vAlign w:val="center"/>
          </w:tcPr>
          <w:p>
            <w:pPr>
              <w:adjustRightInd w:val="0"/>
              <w:snapToGrid w:val="0"/>
              <w:jc w:val="center"/>
              <w:rPr>
                <w:rFonts w:ascii="宋体" w:hAnsi="宋体" w:cs="宋体"/>
                <w:szCs w:val="21"/>
              </w:rPr>
            </w:pPr>
            <w:r>
              <w:rPr>
                <w:rFonts w:hint="eastAsia" w:ascii="宋体" w:hAnsi="宋体" w:cs="宋体"/>
                <w:szCs w:val="21"/>
              </w:rPr>
              <w:t>环境保护措施</w:t>
            </w:r>
          </w:p>
        </w:tc>
        <w:tc>
          <w:tcPr>
            <w:tcW w:w="2018" w:type="dxa"/>
            <w:vAlign w:val="center"/>
          </w:tcPr>
          <w:p>
            <w:pPr>
              <w:adjustRightInd w:val="0"/>
              <w:snapToGrid w:val="0"/>
              <w:jc w:val="center"/>
              <w:rPr>
                <w:rFonts w:ascii="宋体" w:hAnsi="宋体" w:cs="宋体"/>
                <w:szCs w:val="21"/>
              </w:rPr>
            </w:pPr>
            <w:r>
              <w:rPr>
                <w:rFonts w:hint="eastAsia" w:ascii="宋体" w:hAnsi="宋体" w:cs="宋体"/>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7" w:hRule="atLeast"/>
          <w:jc w:val="center"/>
        </w:trPr>
        <w:tc>
          <w:tcPr>
            <w:tcW w:w="1778" w:type="dxa"/>
            <w:vMerge w:val="restart"/>
            <w:vAlign w:val="center"/>
          </w:tcPr>
          <w:p>
            <w:pPr>
              <w:adjustRightInd w:val="0"/>
              <w:snapToGrid w:val="0"/>
              <w:jc w:val="center"/>
              <w:rPr>
                <w:rFonts w:ascii="宋体" w:hAnsi="宋体" w:cs="宋体"/>
                <w:szCs w:val="21"/>
              </w:rPr>
            </w:pPr>
            <w:r>
              <w:rPr>
                <w:rFonts w:hint="eastAsia" w:ascii="宋体" w:hAnsi="宋体" w:cs="宋体"/>
                <w:szCs w:val="21"/>
              </w:rPr>
              <w:t>大气环境</w:t>
            </w:r>
          </w:p>
        </w:tc>
        <w:tc>
          <w:tcPr>
            <w:tcW w:w="1755" w:type="dxa"/>
            <w:vAlign w:val="center"/>
          </w:tcPr>
          <w:p>
            <w:pPr>
              <w:adjustRightInd w:val="0"/>
              <w:snapToGrid w:val="0"/>
              <w:jc w:val="center"/>
              <w:rPr>
                <w:rFonts w:ascii="宋体" w:hAnsi="宋体" w:cs="宋体"/>
                <w:szCs w:val="21"/>
              </w:rPr>
            </w:pPr>
            <w:r>
              <w:rPr>
                <w:rFonts w:hint="eastAsia"/>
                <w:szCs w:val="21"/>
              </w:rPr>
              <w:t>粉尘DA001</w:t>
            </w:r>
          </w:p>
        </w:tc>
        <w:tc>
          <w:tcPr>
            <w:tcW w:w="981" w:type="dxa"/>
            <w:vAlign w:val="center"/>
          </w:tcPr>
          <w:p>
            <w:pPr>
              <w:snapToGrid w:val="0"/>
              <w:spacing w:line="360" w:lineRule="exact"/>
              <w:jc w:val="center"/>
              <w:rPr>
                <w:szCs w:val="21"/>
              </w:rPr>
            </w:pPr>
            <w:r>
              <w:rPr>
                <w:rFonts w:hint="eastAsia"/>
                <w:szCs w:val="21"/>
              </w:rPr>
              <w:t>颗粒物</w:t>
            </w:r>
          </w:p>
        </w:tc>
        <w:tc>
          <w:tcPr>
            <w:tcW w:w="2268" w:type="dxa"/>
            <w:vAlign w:val="center"/>
          </w:tcPr>
          <w:p>
            <w:pPr>
              <w:snapToGrid w:val="0"/>
              <w:spacing w:line="360" w:lineRule="exact"/>
              <w:jc w:val="center"/>
              <w:rPr>
                <w:szCs w:val="21"/>
              </w:rPr>
            </w:pPr>
            <w:r>
              <w:rPr>
                <w:rFonts w:hint="eastAsia"/>
                <w:color w:val="000000"/>
                <w:szCs w:val="21"/>
                <w:lang w:val="en-US" w:eastAsia="zh-CN"/>
              </w:rPr>
              <w:t>破碎机及磁选机上方安装集气罩+10000m³/h</w:t>
            </w:r>
            <w:r>
              <w:rPr>
                <w:rFonts w:hint="eastAsia"/>
                <w:color w:val="000000"/>
                <w:szCs w:val="21"/>
              </w:rPr>
              <w:t>旋风袋式除尘器+1根15m高排气筒</w:t>
            </w:r>
          </w:p>
        </w:tc>
        <w:tc>
          <w:tcPr>
            <w:tcW w:w="2018" w:type="dxa"/>
            <w:vAlign w:val="center"/>
          </w:tcPr>
          <w:p>
            <w:pPr>
              <w:snapToGrid w:val="0"/>
              <w:spacing w:before="120" w:beforeLines="50" w:after="120" w:afterLines="50"/>
              <w:jc w:val="center"/>
              <w:rPr>
                <w:szCs w:val="21"/>
              </w:rPr>
            </w:pPr>
            <w:r>
              <w:rPr>
                <w:rFonts w:hint="eastAsia"/>
                <w:szCs w:val="21"/>
              </w:rPr>
              <w:t>《大气污染物综合排放标准》（GB 16297-1996）表2排放限值（120mg/m³）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7" w:hRule="atLeast"/>
          <w:jc w:val="center"/>
        </w:trPr>
        <w:tc>
          <w:tcPr>
            <w:tcW w:w="1778" w:type="dxa"/>
            <w:vMerge w:val="continue"/>
            <w:vAlign w:val="center"/>
          </w:tcPr>
          <w:p>
            <w:pPr>
              <w:adjustRightInd w:val="0"/>
              <w:snapToGrid w:val="0"/>
              <w:jc w:val="center"/>
              <w:rPr>
                <w:rFonts w:ascii="宋体" w:hAnsi="宋体" w:cs="宋体"/>
                <w:szCs w:val="21"/>
              </w:rPr>
            </w:pPr>
          </w:p>
        </w:tc>
        <w:tc>
          <w:tcPr>
            <w:tcW w:w="1755" w:type="dxa"/>
            <w:vAlign w:val="center"/>
          </w:tcPr>
          <w:p>
            <w:pPr>
              <w:adjustRightInd w:val="0"/>
              <w:snapToGrid w:val="0"/>
              <w:jc w:val="center"/>
              <w:rPr>
                <w:szCs w:val="21"/>
              </w:rPr>
            </w:pPr>
            <w:r>
              <w:rPr>
                <w:rFonts w:hint="eastAsia"/>
                <w:szCs w:val="21"/>
              </w:rPr>
              <w:t>抓机尾气</w:t>
            </w:r>
          </w:p>
        </w:tc>
        <w:tc>
          <w:tcPr>
            <w:tcW w:w="981" w:type="dxa"/>
            <w:vAlign w:val="center"/>
          </w:tcPr>
          <w:p>
            <w:pPr>
              <w:snapToGrid w:val="0"/>
              <w:spacing w:line="360" w:lineRule="exact"/>
              <w:jc w:val="center"/>
              <w:rPr>
                <w:szCs w:val="21"/>
                <w:vertAlign w:val="subscript"/>
              </w:rPr>
            </w:pPr>
            <w:r>
              <w:rPr>
                <w:rFonts w:hint="eastAsia"/>
                <w:szCs w:val="21"/>
              </w:rPr>
              <w:t>CO、HC、NO</w:t>
            </w:r>
            <w:r>
              <w:rPr>
                <w:rFonts w:hint="eastAsia"/>
                <w:szCs w:val="21"/>
                <w:vertAlign w:val="subscript"/>
              </w:rPr>
              <w:t>X</w:t>
            </w:r>
          </w:p>
        </w:tc>
        <w:tc>
          <w:tcPr>
            <w:tcW w:w="2268" w:type="dxa"/>
            <w:vAlign w:val="center"/>
          </w:tcPr>
          <w:p>
            <w:pPr>
              <w:snapToGrid w:val="0"/>
              <w:spacing w:line="360" w:lineRule="exact"/>
              <w:jc w:val="center"/>
              <w:rPr>
                <w:color w:val="000000"/>
                <w:szCs w:val="21"/>
              </w:rPr>
            </w:pPr>
            <w:r>
              <w:rPr>
                <w:rFonts w:hint="eastAsia"/>
                <w:color w:val="000000"/>
                <w:szCs w:val="21"/>
              </w:rPr>
              <w:t>严禁使用劣质柴油，定期进行设备养护，并按要求定期进行监测</w:t>
            </w:r>
          </w:p>
        </w:tc>
        <w:tc>
          <w:tcPr>
            <w:tcW w:w="2018" w:type="dxa"/>
            <w:vAlign w:val="center"/>
          </w:tcPr>
          <w:p>
            <w:pPr>
              <w:snapToGrid w:val="0"/>
              <w:spacing w:before="120" w:beforeLines="50" w:after="120" w:afterLines="50"/>
              <w:jc w:val="center"/>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地表水环境</w:t>
            </w:r>
          </w:p>
        </w:tc>
        <w:tc>
          <w:tcPr>
            <w:tcW w:w="1755" w:type="dxa"/>
            <w:vAlign w:val="center"/>
          </w:tcPr>
          <w:p>
            <w:pPr>
              <w:adjustRightInd w:val="0"/>
              <w:snapToGrid w:val="0"/>
              <w:jc w:val="center"/>
              <w:rPr>
                <w:szCs w:val="21"/>
              </w:rPr>
            </w:pPr>
            <w:r>
              <w:rPr>
                <w:rFonts w:hint="eastAsia"/>
                <w:szCs w:val="21"/>
              </w:rPr>
              <w:t>化粪池</w:t>
            </w:r>
          </w:p>
        </w:tc>
        <w:tc>
          <w:tcPr>
            <w:tcW w:w="981" w:type="dxa"/>
            <w:vAlign w:val="center"/>
          </w:tcPr>
          <w:p>
            <w:pPr>
              <w:adjustRightInd w:val="0"/>
              <w:snapToGrid w:val="0"/>
              <w:jc w:val="center"/>
              <w:rPr>
                <w:szCs w:val="21"/>
              </w:rPr>
            </w:pPr>
            <w:r>
              <w:rPr>
                <w:rFonts w:hint="eastAsia"/>
                <w:szCs w:val="21"/>
              </w:rPr>
              <w:t>COD、氨氮</w:t>
            </w:r>
          </w:p>
        </w:tc>
        <w:tc>
          <w:tcPr>
            <w:tcW w:w="2268" w:type="dxa"/>
            <w:vAlign w:val="center"/>
          </w:tcPr>
          <w:p>
            <w:pPr>
              <w:adjustRightInd w:val="0"/>
              <w:snapToGrid w:val="0"/>
              <w:jc w:val="center"/>
              <w:rPr>
                <w:szCs w:val="21"/>
              </w:rPr>
            </w:pPr>
            <w:r>
              <w:rPr>
                <w:rFonts w:hint="eastAsia"/>
                <w:szCs w:val="21"/>
              </w:rPr>
              <w:t>化粪池处理后经市政污水管网排入淞江产业集聚区污水处理厂</w:t>
            </w:r>
          </w:p>
        </w:tc>
        <w:tc>
          <w:tcPr>
            <w:tcW w:w="2018" w:type="dxa"/>
            <w:vAlign w:val="center"/>
          </w:tcPr>
          <w:p>
            <w:pPr>
              <w:adjustRightInd w:val="0"/>
              <w:snapToGrid w:val="0"/>
              <w:jc w:val="center"/>
              <w:rPr>
                <w:szCs w:val="21"/>
              </w:rPr>
            </w:pPr>
            <w:r>
              <w:rPr>
                <w:rFonts w:hint="eastAsia"/>
                <w:szCs w:val="21"/>
              </w:rPr>
              <w:t>满足《污水综合排放标准》（GB8978-1996）表4二级标准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声环境</w:t>
            </w:r>
          </w:p>
        </w:tc>
        <w:tc>
          <w:tcPr>
            <w:tcW w:w="1755" w:type="dxa"/>
            <w:vAlign w:val="center"/>
          </w:tcPr>
          <w:p>
            <w:pPr>
              <w:snapToGrid w:val="0"/>
              <w:spacing w:line="360" w:lineRule="exact"/>
              <w:jc w:val="center"/>
              <w:rPr>
                <w:rFonts w:hAnsi="宋体"/>
                <w:color w:val="000000"/>
                <w:szCs w:val="21"/>
              </w:rPr>
            </w:pPr>
            <w:r>
              <w:rPr>
                <w:rFonts w:hint="eastAsia" w:hAnsi="宋体"/>
                <w:color w:val="000000"/>
                <w:szCs w:val="21"/>
              </w:rPr>
              <w:t>四周厂界</w:t>
            </w:r>
          </w:p>
        </w:tc>
        <w:tc>
          <w:tcPr>
            <w:tcW w:w="981" w:type="dxa"/>
            <w:vAlign w:val="center"/>
          </w:tcPr>
          <w:p>
            <w:pPr>
              <w:snapToGrid w:val="0"/>
              <w:spacing w:line="360" w:lineRule="exact"/>
              <w:jc w:val="center"/>
              <w:rPr>
                <w:rFonts w:hAnsi="宋体"/>
                <w:color w:val="000000"/>
                <w:szCs w:val="21"/>
              </w:rPr>
            </w:pPr>
            <w:r>
              <w:rPr>
                <w:rFonts w:hint="eastAsia" w:hAnsi="宋体"/>
                <w:color w:val="000000"/>
                <w:szCs w:val="21"/>
              </w:rPr>
              <w:t>等效A声级</w:t>
            </w:r>
          </w:p>
        </w:tc>
        <w:tc>
          <w:tcPr>
            <w:tcW w:w="2268" w:type="dxa"/>
            <w:vAlign w:val="center"/>
          </w:tcPr>
          <w:p>
            <w:pPr>
              <w:snapToGrid w:val="0"/>
              <w:spacing w:line="360" w:lineRule="exact"/>
              <w:jc w:val="center"/>
              <w:rPr>
                <w:rFonts w:hAnsi="宋体"/>
                <w:color w:val="000000"/>
                <w:szCs w:val="21"/>
              </w:rPr>
            </w:pPr>
            <w:r>
              <w:rPr>
                <w:rFonts w:hint="eastAsia" w:hAnsi="宋体"/>
                <w:color w:val="000000"/>
                <w:szCs w:val="21"/>
              </w:rPr>
              <w:t>合理布局，基础减震、厂房隔声</w:t>
            </w:r>
          </w:p>
        </w:tc>
        <w:tc>
          <w:tcPr>
            <w:tcW w:w="2018" w:type="dxa"/>
            <w:vAlign w:val="center"/>
          </w:tcPr>
          <w:p>
            <w:pPr>
              <w:snapToGrid w:val="0"/>
              <w:spacing w:before="120" w:beforeLines="50" w:after="120" w:afterLines="50"/>
              <w:jc w:val="center"/>
              <w:rPr>
                <w:rFonts w:ascii="宋体" w:hAnsi="宋体" w:cs="宋体"/>
                <w:szCs w:val="21"/>
              </w:rPr>
            </w:pPr>
            <w:r>
              <w:rPr>
                <w:rFonts w:hint="eastAsia" w:hAnsi="宋体"/>
                <w:bCs/>
                <w:szCs w:val="21"/>
              </w:rPr>
              <w:t>《工业企业厂界环境噪声排放标准》（GB12348-2008）</w:t>
            </w:r>
            <w:r>
              <w:rPr>
                <w:rFonts w:hAnsi="宋体"/>
                <w:bCs/>
                <w:szCs w:val="21"/>
              </w:rPr>
              <w:t>2</w:t>
            </w:r>
            <w:r>
              <w:rPr>
                <w:rFonts w:hint="eastAsia" w:hAnsi="宋体"/>
                <w:bCs/>
                <w:szCs w:val="21"/>
              </w:rPr>
              <w:t>类标准</w:t>
            </w:r>
            <w:r>
              <w:rPr>
                <w:rFonts w:hAnsi="宋体"/>
                <w:bCs/>
                <w:szCs w:val="21"/>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778" w:type="dxa"/>
            <w:vMerge w:val="restart"/>
            <w:vAlign w:val="center"/>
          </w:tcPr>
          <w:p>
            <w:pPr>
              <w:adjustRightInd w:val="0"/>
              <w:snapToGrid w:val="0"/>
              <w:jc w:val="center"/>
              <w:rPr>
                <w:rFonts w:ascii="宋体" w:hAnsi="宋体" w:cs="宋体"/>
                <w:szCs w:val="21"/>
              </w:rPr>
            </w:pPr>
            <w:r>
              <w:rPr>
                <w:rFonts w:hint="eastAsia" w:ascii="宋体" w:hAnsi="宋体" w:cs="宋体"/>
                <w:szCs w:val="21"/>
              </w:rPr>
              <w:t>固体废物</w:t>
            </w:r>
          </w:p>
        </w:tc>
        <w:tc>
          <w:tcPr>
            <w:tcW w:w="1755" w:type="dxa"/>
            <w:vAlign w:val="center"/>
          </w:tcPr>
          <w:p>
            <w:pPr>
              <w:ind w:firstLine="420" w:firstLineChars="200"/>
              <w:rPr>
                <w:color w:val="000000"/>
                <w:szCs w:val="21"/>
              </w:rPr>
            </w:pPr>
            <w:r>
              <w:rPr>
                <w:rFonts w:hint="eastAsia"/>
                <w:color w:val="000000"/>
                <w:szCs w:val="21"/>
              </w:rPr>
              <w:t>办公生活</w:t>
            </w:r>
          </w:p>
        </w:tc>
        <w:tc>
          <w:tcPr>
            <w:tcW w:w="981" w:type="dxa"/>
            <w:vAlign w:val="center"/>
          </w:tcPr>
          <w:p>
            <w:pPr>
              <w:rPr>
                <w:color w:val="000000"/>
                <w:szCs w:val="21"/>
              </w:rPr>
            </w:pPr>
            <w:r>
              <w:rPr>
                <w:rFonts w:hint="eastAsia"/>
                <w:color w:val="000000"/>
                <w:szCs w:val="21"/>
              </w:rPr>
              <w:t>生活垃圾</w:t>
            </w:r>
          </w:p>
        </w:tc>
        <w:tc>
          <w:tcPr>
            <w:tcW w:w="2268" w:type="dxa"/>
            <w:vAlign w:val="center"/>
          </w:tcPr>
          <w:p>
            <w:pPr>
              <w:rPr>
                <w:color w:val="000000"/>
                <w:szCs w:val="21"/>
              </w:rPr>
            </w:pPr>
            <w:r>
              <w:rPr>
                <w:rFonts w:hint="eastAsia"/>
                <w:color w:val="000000"/>
                <w:szCs w:val="21"/>
              </w:rPr>
              <w:t>生活垃圾经统一收集后委托环卫清理</w:t>
            </w:r>
          </w:p>
        </w:tc>
        <w:tc>
          <w:tcPr>
            <w:tcW w:w="2018" w:type="dxa"/>
            <w:vAlign w:val="center"/>
          </w:tcPr>
          <w:p>
            <w:pPr>
              <w:ind w:firstLine="482"/>
              <w:jc w:val="center"/>
              <w:rPr>
                <w:color w:val="000000"/>
                <w:szCs w:val="21"/>
              </w:rPr>
            </w:pPr>
            <w:r>
              <w:rPr>
                <w:rFonts w:hint="eastAsia"/>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78" w:type="dxa"/>
            <w:vMerge w:val="continue"/>
            <w:vAlign w:val="center"/>
          </w:tcPr>
          <w:p>
            <w:pPr>
              <w:ind w:firstLine="482"/>
              <w:jc w:val="center"/>
            </w:pPr>
          </w:p>
        </w:tc>
        <w:tc>
          <w:tcPr>
            <w:tcW w:w="1755" w:type="dxa"/>
            <w:vMerge w:val="restart"/>
            <w:vAlign w:val="center"/>
          </w:tcPr>
          <w:p>
            <w:pPr>
              <w:jc w:val="center"/>
            </w:pPr>
            <w:r>
              <w:rPr>
                <w:rFonts w:hint="eastAsia"/>
              </w:rPr>
              <w:t>一般工业固废</w:t>
            </w:r>
          </w:p>
        </w:tc>
        <w:tc>
          <w:tcPr>
            <w:tcW w:w="981" w:type="dxa"/>
            <w:vAlign w:val="center"/>
          </w:tcPr>
          <w:p>
            <w:r>
              <w:rPr>
                <w:rFonts w:hint="eastAsia"/>
              </w:rPr>
              <w:t>磁选废料</w:t>
            </w:r>
          </w:p>
        </w:tc>
        <w:tc>
          <w:tcPr>
            <w:tcW w:w="2268" w:type="dxa"/>
            <w:vAlign w:val="center"/>
          </w:tcPr>
          <w:p>
            <w:r>
              <w:rPr>
                <w:rFonts w:hint="eastAsia"/>
              </w:rPr>
              <w:t>暂存于一般固废暂存间，定期外售</w:t>
            </w:r>
          </w:p>
        </w:tc>
        <w:tc>
          <w:tcPr>
            <w:tcW w:w="2018" w:type="dxa"/>
            <w:vMerge w:val="restart"/>
            <w:vAlign w:val="center"/>
          </w:tcPr>
          <w:p>
            <w:pPr>
              <w:rPr>
                <w:color w:val="000000"/>
                <w:szCs w:val="21"/>
              </w:rPr>
            </w:pPr>
            <w:r>
              <w:rPr>
                <w:rFonts w:hint="eastAsia" w:hAnsi="宋体"/>
                <w:bCs/>
                <w:szCs w:val="21"/>
              </w:rPr>
              <w:t>《一般工业固体废物贮存和填埋污染控制标准》（GB18599-2020）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778" w:type="dxa"/>
            <w:vMerge w:val="continue"/>
            <w:vAlign w:val="center"/>
          </w:tcPr>
          <w:p>
            <w:pPr>
              <w:ind w:firstLine="482"/>
              <w:jc w:val="center"/>
            </w:pPr>
          </w:p>
        </w:tc>
        <w:tc>
          <w:tcPr>
            <w:tcW w:w="1755" w:type="dxa"/>
            <w:vMerge w:val="continue"/>
            <w:vAlign w:val="center"/>
          </w:tcPr>
          <w:p>
            <w:pPr>
              <w:ind w:firstLine="482"/>
              <w:jc w:val="center"/>
            </w:pPr>
          </w:p>
        </w:tc>
        <w:tc>
          <w:tcPr>
            <w:tcW w:w="981" w:type="dxa"/>
            <w:vAlign w:val="center"/>
          </w:tcPr>
          <w:p>
            <w:r>
              <w:rPr>
                <w:rFonts w:hint="eastAsia"/>
              </w:rPr>
              <w:t>除尘器收集尘</w:t>
            </w:r>
          </w:p>
        </w:tc>
        <w:tc>
          <w:tcPr>
            <w:tcW w:w="2268" w:type="dxa"/>
            <w:vAlign w:val="center"/>
          </w:tcPr>
          <w:p>
            <w:r>
              <w:rPr>
                <w:rFonts w:hint="eastAsia"/>
              </w:rPr>
              <w:t>外售综合利用</w:t>
            </w:r>
          </w:p>
        </w:tc>
        <w:tc>
          <w:tcPr>
            <w:tcW w:w="2018" w:type="dxa"/>
            <w:vMerge w:val="continue"/>
            <w:vAlign w:val="center"/>
          </w:tcPr>
          <w:p>
            <w:pPr>
              <w:ind w:firstLine="482"/>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土壤及地下水</w:t>
            </w:r>
          </w:p>
          <w:p>
            <w:pPr>
              <w:adjustRightInd w:val="0"/>
              <w:snapToGrid w:val="0"/>
              <w:jc w:val="center"/>
              <w:rPr>
                <w:rFonts w:ascii="宋体" w:hAnsi="宋体" w:cs="宋体"/>
                <w:szCs w:val="21"/>
              </w:rPr>
            </w:pPr>
            <w:r>
              <w:rPr>
                <w:rFonts w:hint="eastAsia" w:ascii="宋体" w:hAnsi="宋体" w:cs="宋体"/>
                <w:szCs w:val="21"/>
              </w:rPr>
              <w:t>污染防治措施</w:t>
            </w:r>
          </w:p>
        </w:tc>
        <w:tc>
          <w:tcPr>
            <w:tcW w:w="7022" w:type="dxa"/>
            <w:gridSpan w:val="4"/>
            <w:vAlign w:val="center"/>
          </w:tcPr>
          <w:p>
            <w:pPr>
              <w:adjustRightInd w:val="0"/>
              <w:snapToGrid w:val="0"/>
              <w:spacing w:line="360" w:lineRule="auto"/>
              <w:ind w:firstLine="420" w:firstLineChars="200"/>
              <w:jc w:val="center"/>
              <w:rPr>
                <w:rFonts w:ascii="宋体" w:hAnsi="宋体" w:cs="宋体"/>
                <w:szCs w:val="21"/>
              </w:rPr>
            </w:pP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78" w:type="dxa"/>
            <w:vAlign w:val="center"/>
          </w:tcPr>
          <w:p>
            <w:pPr>
              <w:adjustRightInd w:val="0"/>
              <w:snapToGrid w:val="0"/>
              <w:jc w:val="center"/>
              <w:rPr>
                <w:rFonts w:ascii="宋体" w:hAnsi="宋体" w:cs="宋体"/>
                <w:szCs w:val="21"/>
              </w:rPr>
            </w:pPr>
            <w:r>
              <w:rPr>
                <w:rFonts w:hint="eastAsia" w:ascii="宋体" w:hAnsi="宋体" w:cs="宋体"/>
                <w:szCs w:val="21"/>
              </w:rPr>
              <w:t>生态保护措施</w:t>
            </w:r>
          </w:p>
        </w:tc>
        <w:tc>
          <w:tcPr>
            <w:tcW w:w="7022" w:type="dxa"/>
            <w:gridSpan w:val="4"/>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7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环境风险防范措施</w:t>
            </w:r>
          </w:p>
        </w:tc>
        <w:tc>
          <w:tcPr>
            <w:tcW w:w="7022" w:type="dxa"/>
            <w:gridSpan w:val="4"/>
            <w:vAlign w:val="center"/>
          </w:tcPr>
          <w:p>
            <w:pPr>
              <w:adjustRightInd w:val="0"/>
              <w:snapToGrid w:val="0"/>
              <w:spacing w:line="360" w:lineRule="auto"/>
              <w:ind w:firstLine="420" w:firstLineChars="200"/>
              <w:rPr>
                <w:szCs w:val="21"/>
              </w:rPr>
            </w:pPr>
          </w:p>
          <w:p>
            <w:pPr>
              <w:adjustRightInd w:val="0"/>
              <w:snapToGrid w:val="0"/>
              <w:spacing w:line="360" w:lineRule="auto"/>
              <w:ind w:firstLine="420" w:firstLineChars="200"/>
              <w:rPr>
                <w:szCs w:val="21"/>
              </w:rPr>
            </w:pPr>
          </w:p>
          <w:p>
            <w:pPr>
              <w:adjustRightInd w:val="0"/>
              <w:snapToGrid w:val="0"/>
              <w:spacing w:line="360" w:lineRule="auto"/>
              <w:ind w:firstLine="420" w:firstLineChars="200"/>
              <w:rPr>
                <w:szCs w:val="21"/>
              </w:rPr>
            </w:pPr>
            <w:r>
              <w:rPr>
                <w:rFonts w:hint="eastAsia"/>
                <w:szCs w:val="21"/>
              </w:rPr>
              <w:t>①搞好绿化工作，在厂区四周及道路两侧和其他区域相交地带，达到吸声降噪、净化空气和美化厂容的目的</w:t>
            </w:r>
            <w:r>
              <w:rPr>
                <w:szCs w:val="21"/>
              </w:rPr>
              <w:t>。</w:t>
            </w:r>
          </w:p>
          <w:p>
            <w:pPr>
              <w:adjustRightInd w:val="0"/>
              <w:snapToGrid w:val="0"/>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其他环境</w:t>
            </w:r>
          </w:p>
          <w:p>
            <w:pPr>
              <w:adjustRightInd w:val="0"/>
              <w:snapToGrid w:val="0"/>
              <w:jc w:val="center"/>
              <w:rPr>
                <w:rFonts w:ascii="宋体" w:hAnsi="宋体" w:cs="宋体"/>
                <w:spacing w:val="-8"/>
                <w:szCs w:val="21"/>
              </w:rPr>
            </w:pPr>
            <w:r>
              <w:rPr>
                <w:rFonts w:hint="eastAsia" w:ascii="宋体" w:hAnsi="宋体" w:cs="宋体"/>
                <w:spacing w:val="-8"/>
                <w:szCs w:val="21"/>
              </w:rPr>
              <w:t>管理要求</w:t>
            </w: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p>
            <w:pPr>
              <w:adjustRightInd w:val="0"/>
              <w:snapToGrid w:val="0"/>
              <w:jc w:val="center"/>
              <w:rPr>
                <w:rFonts w:ascii="宋体" w:hAnsi="宋体" w:cs="宋体"/>
                <w:spacing w:val="-8"/>
                <w:szCs w:val="21"/>
              </w:rPr>
            </w:pPr>
          </w:p>
        </w:tc>
        <w:tc>
          <w:tcPr>
            <w:tcW w:w="7022" w:type="dxa"/>
            <w:gridSpan w:val="4"/>
            <w:vAlign w:val="center"/>
          </w:tcPr>
          <w:p>
            <w:pPr>
              <w:widowControl/>
              <w:adjustRightInd w:val="0"/>
              <w:snapToGrid w:val="0"/>
              <w:spacing w:line="312" w:lineRule="auto"/>
              <w:textAlignment w:val="baseline"/>
              <w:rPr>
                <w:kern w:val="0"/>
                <w:szCs w:val="21"/>
              </w:rPr>
            </w:pPr>
            <w:r>
              <w:rPr>
                <w:kern w:val="0"/>
                <w:szCs w:val="21"/>
              </w:rPr>
              <w:t>（1）严格</w:t>
            </w:r>
            <w:r>
              <w:rPr>
                <w:rFonts w:hint="eastAsia"/>
                <w:kern w:val="0"/>
                <w:szCs w:val="21"/>
              </w:rPr>
              <w:t>贯彻“三同时”政策，严格</w:t>
            </w:r>
            <w:r>
              <w:rPr>
                <w:kern w:val="0"/>
                <w:szCs w:val="21"/>
              </w:rPr>
              <w:t>执行本环评要求，严格落实环境保护竣工验收要求，及时认真落实环保设施的建设。</w:t>
            </w:r>
          </w:p>
          <w:p>
            <w:pPr>
              <w:widowControl/>
              <w:adjustRightInd w:val="0"/>
              <w:snapToGrid w:val="0"/>
              <w:spacing w:line="312" w:lineRule="auto"/>
              <w:textAlignment w:val="baseline"/>
              <w:rPr>
                <w:kern w:val="0"/>
                <w:szCs w:val="21"/>
              </w:rPr>
            </w:pPr>
            <w:r>
              <w:rPr>
                <w:kern w:val="0"/>
                <w:szCs w:val="21"/>
              </w:rPr>
              <w:t>（2）生产过程中加强运行管理，严格执行操作规程，确保安全生产。</w:t>
            </w:r>
          </w:p>
          <w:p>
            <w:pPr>
              <w:widowControl/>
              <w:adjustRightInd w:val="0"/>
              <w:snapToGrid w:val="0"/>
              <w:spacing w:line="312" w:lineRule="auto"/>
              <w:textAlignment w:val="baseline"/>
              <w:rPr>
                <w:kern w:val="0"/>
                <w:szCs w:val="21"/>
              </w:rPr>
            </w:pPr>
            <w:r>
              <w:rPr>
                <w:kern w:val="0"/>
                <w:szCs w:val="21"/>
              </w:rPr>
              <w:t>（3）加强生产设备设施的日常维护，确保环保设施的正常运行。</w:t>
            </w:r>
          </w:p>
          <w:p>
            <w:pPr>
              <w:widowControl/>
              <w:adjustRightInd w:val="0"/>
              <w:snapToGrid w:val="0"/>
              <w:spacing w:line="312" w:lineRule="auto"/>
              <w:textAlignment w:val="baseline"/>
              <w:rPr>
                <w:kern w:val="0"/>
                <w:szCs w:val="21"/>
              </w:rPr>
            </w:pPr>
            <w:r>
              <w:rPr>
                <w:kern w:val="0"/>
                <w:szCs w:val="21"/>
              </w:rPr>
              <w:t>（4）</w:t>
            </w:r>
            <w:r>
              <w:rPr>
                <w:rFonts w:hint="eastAsia"/>
                <w:kern w:val="0"/>
                <w:szCs w:val="21"/>
              </w:rPr>
              <w:t>袋式除尘器及时更换布袋</w:t>
            </w:r>
            <w:r>
              <w:rPr>
                <w:kern w:val="0"/>
                <w:szCs w:val="21"/>
              </w:rPr>
              <w:t>，保证</w:t>
            </w:r>
            <w:r>
              <w:rPr>
                <w:rFonts w:hint="eastAsia"/>
                <w:kern w:val="0"/>
                <w:szCs w:val="21"/>
              </w:rPr>
              <w:t>粉尘</w:t>
            </w:r>
            <w:r>
              <w:rPr>
                <w:kern w:val="0"/>
                <w:szCs w:val="21"/>
              </w:rPr>
              <w:t>的处理效率。</w:t>
            </w: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p>
            <w:pPr>
              <w:widowControl/>
              <w:adjustRightInd w:val="0"/>
              <w:snapToGrid w:val="0"/>
              <w:spacing w:line="312" w:lineRule="auto"/>
              <w:textAlignment w:val="baseline"/>
              <w:rPr>
                <w:kern w:val="0"/>
                <w:szCs w:val="21"/>
              </w:rPr>
            </w:pPr>
          </w:p>
        </w:tc>
      </w:tr>
    </w:tbl>
    <w:p>
      <w:pPr>
        <w:pStyle w:val="16"/>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2"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总结论</w:t>
            </w:r>
            <w:r>
              <w:rPr>
                <w:rFonts w:hint="eastAsia" w:asciiTheme="minorEastAsia" w:hAnsiTheme="minorEastAsia" w:eastAsiaTheme="minorEastAsia" w:cstheme="minorEastAsia"/>
                <w:bCs/>
                <w:sz w:val="24"/>
              </w:rPr>
              <w:t>：</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漯河市腾盛废旧金属回收有限公司投资30万元在河南省漯河市郾城区纬十路中段漯河市中联再生资源有限公司院内建设的年处理5000吨废铁破碎项目，该项目符合国家产业政策，符合“三线一单”等相关要求，项目厂址位置可行，平面布置合理。项目营运期污染防治措施有效、可行，污染物排放量较小并得到有效控制，各污染物均能达标排放，对周围环境的污染影响较小。因此，在保证污染防治措施有效实施的基础上，并采纳其他环境管理要求后，从环境保护的角度分析，本评价认为该项目的建设可行。</w:t>
            </w:r>
          </w:p>
          <w:p>
            <w:pPr>
              <w:spacing w:line="360" w:lineRule="auto"/>
              <w:ind w:firstLine="482"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
                <w:sz w:val="24"/>
              </w:rPr>
              <w:t>建议</w:t>
            </w:r>
          </w:p>
          <w:p>
            <w:pPr>
              <w:spacing w:line="360" w:lineRule="auto"/>
              <w:ind w:left="420" w:leftChars="200"/>
              <w:rPr>
                <w:sz w:val="24"/>
              </w:rPr>
            </w:pPr>
            <w:r>
              <w:rPr>
                <w:sz w:val="24"/>
              </w:rPr>
              <w:t>项目的环保措施要与项目主体同时设计、同时施工、同时投产，确保各项防治</w:t>
            </w:r>
          </w:p>
          <w:p>
            <w:pPr>
              <w:spacing w:line="360" w:lineRule="auto"/>
              <w:rPr>
                <w:sz w:val="24"/>
              </w:rPr>
            </w:pPr>
            <w:r>
              <w:rPr>
                <w:sz w:val="24"/>
              </w:rPr>
              <w:t>措施落实到位，实现经济效益、社会效益、与环境效益的统一与协调发展。</w:t>
            </w:r>
          </w:p>
          <w:p>
            <w:pPr>
              <w:spacing w:line="360" w:lineRule="auto"/>
              <w:ind w:firstLine="480" w:firstLineChars="200"/>
              <w:rPr>
                <w:sz w:val="24"/>
              </w:rPr>
            </w:pPr>
            <w:r>
              <w:rPr>
                <w:rFonts w:hint="eastAsia"/>
                <w:sz w:val="24"/>
              </w:rPr>
              <w:t>1、认真落实环评报告中提出的各项污染防治措施，加强营运期生产管理，减少各种材料的浪费，减轻对环境的污染，确保污染物达标排放。</w:t>
            </w:r>
          </w:p>
          <w:p>
            <w:pPr>
              <w:spacing w:line="360" w:lineRule="auto"/>
              <w:ind w:firstLine="480" w:firstLineChars="200"/>
              <w:rPr>
                <w:sz w:val="24"/>
              </w:rPr>
            </w:pPr>
            <w:r>
              <w:rPr>
                <w:rFonts w:hint="eastAsia"/>
                <w:sz w:val="24"/>
              </w:rPr>
              <w:t>2、尽量选用低噪环保设备，并加强设备的检修与维护，确保设备的正常运行，高噪设备远离厂界布置，确保厂界噪声达标。</w:t>
            </w:r>
          </w:p>
          <w:p>
            <w:pPr>
              <w:spacing w:line="360" w:lineRule="auto"/>
              <w:ind w:firstLine="480" w:firstLineChars="200"/>
              <w:rPr>
                <w:sz w:val="24"/>
              </w:rPr>
            </w:pPr>
            <w:r>
              <w:rPr>
                <w:rFonts w:hint="eastAsia"/>
                <w:sz w:val="24"/>
              </w:rPr>
              <w:t>3、搞好厂区绿化、美化环境，创造一个良好的工作环境。</w:t>
            </w:r>
          </w:p>
          <w:p>
            <w:pPr>
              <w:spacing w:line="360" w:lineRule="auto"/>
              <w:ind w:firstLine="480" w:firstLineChars="200"/>
              <w:rPr>
                <w:rFonts w:asciiTheme="minorEastAsia" w:hAnsiTheme="minorEastAsia" w:eastAsiaTheme="minorEastAsia" w:cstheme="minorEastAsia"/>
                <w:bCs/>
                <w:sz w:val="24"/>
              </w:rPr>
            </w:pPr>
            <w:r>
              <w:rPr>
                <w:rFonts w:hint="eastAsia"/>
                <w:sz w:val="24"/>
              </w:rPr>
              <w:t>4、严格遵守“三同时”要求，在生产设施、环保设施同时设计、同时施工、同时投产运行，待竣工验收后方可正常生产。</w:t>
            </w:r>
          </w:p>
        </w:tc>
      </w:tr>
    </w:tbl>
    <w:p>
      <w:pPr>
        <w:rPr>
          <w:rFonts w:hAnsi="宋体"/>
          <w:snapToGrid w:val="0"/>
          <w:color w:val="000000"/>
          <w:spacing w:val="-6"/>
          <w:kern w:val="21"/>
          <w:szCs w:val="21"/>
        </w:rPr>
        <w:sectPr>
          <w:footerReference r:id="rId5" w:type="default"/>
          <w:pgSz w:w="11906" w:h="16838"/>
          <w:pgMar w:top="1701" w:right="1531" w:bottom="1701" w:left="1531" w:header="851" w:footer="851" w:gutter="0"/>
          <w:cols w:space="720" w:num="1"/>
          <w:docGrid w:linePitch="312" w:charSpace="0"/>
        </w:sectPr>
      </w:pPr>
    </w:p>
    <w:p>
      <w:pPr>
        <w:spacing w:before="55"/>
        <w:ind w:left="151"/>
        <w:rPr>
          <w:rFonts w:ascii="黑体" w:eastAsia="黑体"/>
          <w:sz w:val="32"/>
        </w:rPr>
      </w:pPr>
      <w:r>
        <w:rPr>
          <w:rFonts w:hint="eastAsia" w:ascii="黑体" w:eastAsia="黑体"/>
          <w:sz w:val="32"/>
        </w:rPr>
        <w:t>附表</w:t>
      </w:r>
    </w:p>
    <w:p>
      <w:pPr>
        <w:pStyle w:val="2"/>
        <w:spacing w:before="173"/>
        <w:ind w:left="4550" w:right="4510"/>
      </w:pPr>
      <w:r>
        <w:t>建设项目污染物排放量汇总表</w:t>
      </w:r>
    </w:p>
    <w:tbl>
      <w:tblPr>
        <w:tblStyle w:val="19"/>
        <w:tblW w:w="0" w:type="auto"/>
        <w:tblInd w:w="18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25"/>
        <w:gridCol w:w="1328"/>
        <w:gridCol w:w="1702"/>
        <w:gridCol w:w="1277"/>
        <w:gridCol w:w="1702"/>
        <w:gridCol w:w="1558"/>
        <w:gridCol w:w="1587"/>
        <w:gridCol w:w="1725"/>
        <w:gridCol w:w="12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 w:hRule="atLeast"/>
        </w:trPr>
        <w:tc>
          <w:tcPr>
            <w:tcW w:w="1625" w:type="dxa"/>
            <w:tcBorders>
              <w:bottom w:val="single" w:color="000000" w:sz="4" w:space="0"/>
              <w:right w:val="single" w:color="000000" w:sz="4" w:space="0"/>
            </w:tcBorders>
          </w:tcPr>
          <w:p>
            <w:pPr>
              <w:pStyle w:val="57"/>
              <w:spacing w:before="149"/>
              <w:ind w:left="1163"/>
              <w:rPr>
                <w:rFonts w:ascii="黑体" w:eastAsia="黑体"/>
              </w:rPr>
            </w:pPr>
            <w:r>
              <w:rPr>
                <w:lang w:val="en-US" w:bidi="ar-SA"/>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-7620</wp:posOffset>
                      </wp:positionV>
                      <wp:extent cx="1040130" cy="539750"/>
                      <wp:effectExtent l="1905" t="4445" r="5715" b="8255"/>
                      <wp:wrapNone/>
                      <wp:docPr id="17" name="直线 5"/>
                      <wp:cNvGraphicFramePr/>
                      <a:graphic xmlns:a="http://schemas.openxmlformats.org/drawingml/2006/main">
                        <a:graphicData uri="http://schemas.microsoft.com/office/word/2010/wordprocessingShape">
                          <wps:wsp>
                            <wps:cNvCnPr/>
                            <wps:spPr>
                              <a:xfrm>
                                <a:off x="0" y="0"/>
                                <a:ext cx="1040130" cy="5397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1.15pt;margin-top:-0.6pt;height:42.5pt;width:81.9pt;z-index:251660288;mso-width-relative:page;mso-height-relative:page;" filled="f" stroked="t" coordsize="21600,21600" o:gfxdata="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Cjqp1wAA&#10;AAgBAAAPAAAAAAAAAAEAIAAAACIAAABkcnMvZG93bnJldi54bWxQSwECFAAUAAAACACHTuJA7Xql&#10;9+YBAADVAwAADgAAAAAAAAABACAAAAAmAQAAZHJzL2Uyb0RvYy54bWxQSwUGAAAAAAYABgBZAQAA&#10;fgUAAAAA&#10;">
                      <v:fill on="f" focussize="0,0"/>
                      <v:stroke color="#000000" joinstyle="round"/>
                      <v:imagedata o:title=""/>
                      <o:lock v:ext="edit" aspectratio="f"/>
                    </v:line>
                  </w:pict>
                </mc:Fallback>
              </mc:AlternateContent>
            </w:r>
            <w:r>
              <w:rPr>
                <w:rFonts w:hint="eastAsia" w:ascii="黑体" w:eastAsia="黑体"/>
                <w:spacing w:val="-15"/>
              </w:rPr>
              <w:t>项目</w:t>
            </w:r>
          </w:p>
          <w:p>
            <w:pPr>
              <w:pStyle w:val="57"/>
              <w:spacing w:before="2"/>
              <w:ind w:left="28"/>
              <w:rPr>
                <w:rFonts w:ascii="黑体" w:eastAsia="黑体"/>
              </w:rPr>
            </w:pPr>
            <w:r>
              <w:rPr>
                <w:rFonts w:hint="eastAsia" w:ascii="黑体" w:eastAsia="黑体"/>
              </w:rPr>
              <w:t>分类</w:t>
            </w:r>
          </w:p>
        </w:tc>
        <w:tc>
          <w:tcPr>
            <w:tcW w:w="1328" w:type="dxa"/>
            <w:tcBorders>
              <w:left w:val="single" w:color="000000" w:sz="4" w:space="0"/>
              <w:bottom w:val="single" w:color="000000" w:sz="4" w:space="0"/>
              <w:right w:val="single" w:color="000000" w:sz="4" w:space="0"/>
            </w:tcBorders>
          </w:tcPr>
          <w:p>
            <w:pPr>
              <w:pStyle w:val="57"/>
              <w:spacing w:before="9"/>
              <w:rPr>
                <w:rFonts w:ascii="微软雅黑"/>
                <w:sz w:val="15"/>
              </w:rPr>
            </w:pPr>
          </w:p>
          <w:p>
            <w:pPr>
              <w:pStyle w:val="57"/>
              <w:spacing w:before="1"/>
              <w:ind w:left="175" w:right="141"/>
              <w:jc w:val="center"/>
              <w:rPr>
                <w:rFonts w:ascii="黑体" w:eastAsia="黑体"/>
              </w:rPr>
            </w:pPr>
            <w:r>
              <w:rPr>
                <w:rFonts w:hint="eastAsia" w:ascii="黑体" w:eastAsia="黑体"/>
              </w:rPr>
              <w:t>污染物名称</w:t>
            </w:r>
          </w:p>
        </w:tc>
        <w:tc>
          <w:tcPr>
            <w:tcW w:w="1702" w:type="dxa"/>
            <w:tcBorders>
              <w:left w:val="single" w:color="000000" w:sz="4" w:space="0"/>
              <w:bottom w:val="single" w:color="000000" w:sz="4" w:space="0"/>
              <w:right w:val="single" w:color="000000" w:sz="4" w:space="0"/>
            </w:tcBorders>
          </w:tcPr>
          <w:p>
            <w:pPr>
              <w:pStyle w:val="57"/>
              <w:spacing w:before="13"/>
              <w:ind w:left="60" w:right="32"/>
              <w:jc w:val="center"/>
              <w:rPr>
                <w:rFonts w:ascii="黑体" w:eastAsia="黑体"/>
              </w:rPr>
            </w:pPr>
            <w:r>
              <w:rPr>
                <w:rFonts w:hint="eastAsia" w:ascii="黑体" w:eastAsia="黑体"/>
              </w:rPr>
              <w:t>现有工程</w:t>
            </w:r>
          </w:p>
          <w:p>
            <w:pPr>
              <w:pStyle w:val="57"/>
              <w:spacing w:before="3" w:line="270" w:lineRule="atLeast"/>
              <w:ind w:left="62" w:right="32"/>
              <w:jc w:val="center"/>
              <w:rPr>
                <w:rFonts w:ascii="黑体" w:hAnsi="黑体" w:eastAsia="黑体"/>
              </w:rPr>
            </w:pPr>
            <w:r>
              <w:rPr>
                <w:rFonts w:hint="eastAsia" w:ascii="黑体" w:hAnsi="黑体" w:eastAsia="黑体"/>
                <w:spacing w:val="-15"/>
              </w:rPr>
              <w:t>排放量</w:t>
            </w:r>
            <w:r>
              <w:rPr>
                <w:rFonts w:hint="eastAsia" w:ascii="黑体" w:hAnsi="黑体" w:eastAsia="黑体"/>
                <w:spacing w:val="-13"/>
              </w:rPr>
              <w:t>（</w:t>
            </w:r>
            <w:r>
              <w:rPr>
                <w:rFonts w:hint="eastAsia" w:ascii="黑体" w:hAnsi="黑体" w:eastAsia="黑体"/>
                <w:spacing w:val="-15"/>
              </w:rPr>
              <w:t>固体废物产生量</w:t>
            </w:r>
            <w:r>
              <w:rPr>
                <w:rFonts w:hint="eastAsia" w:ascii="黑体" w:hAnsi="黑体" w:eastAsia="黑体"/>
                <w:spacing w:val="-7"/>
              </w:rPr>
              <w:t>）①</w:t>
            </w:r>
          </w:p>
        </w:tc>
        <w:tc>
          <w:tcPr>
            <w:tcW w:w="1277" w:type="dxa"/>
            <w:tcBorders>
              <w:left w:val="single" w:color="000000" w:sz="4" w:space="0"/>
              <w:bottom w:val="single" w:color="000000" w:sz="4" w:space="0"/>
              <w:right w:val="single" w:color="000000" w:sz="4" w:space="0"/>
            </w:tcBorders>
          </w:tcPr>
          <w:p>
            <w:pPr>
              <w:pStyle w:val="57"/>
              <w:spacing w:before="3" w:line="242" w:lineRule="auto"/>
              <w:ind w:left="146" w:right="115" w:firstLine="2"/>
              <w:jc w:val="center"/>
              <w:rPr>
                <w:rFonts w:ascii="黑体" w:eastAsia="黑体"/>
              </w:rPr>
            </w:pPr>
            <w:r>
              <w:rPr>
                <w:rFonts w:hint="eastAsia" w:ascii="黑体" w:eastAsia="黑体"/>
                <w:spacing w:val="-12"/>
              </w:rPr>
              <w:t xml:space="preserve">现有工程 </w:t>
            </w:r>
            <w:r>
              <w:rPr>
                <w:rFonts w:hint="eastAsia" w:ascii="黑体" w:eastAsia="黑体"/>
                <w:spacing w:val="-15"/>
              </w:rPr>
              <w:t>许可排放量</w:t>
            </w:r>
          </w:p>
          <w:p>
            <w:pPr>
              <w:pStyle w:val="57"/>
              <w:spacing w:before="1"/>
              <w:ind w:left="29"/>
              <w:jc w:val="center"/>
              <w:rPr>
                <w:rFonts w:ascii="黑体" w:hAnsi="黑体"/>
              </w:rPr>
            </w:pPr>
            <w:r>
              <w:rPr>
                <w:rFonts w:ascii="黑体" w:hAnsi="黑体"/>
              </w:rPr>
              <w:t>②</w:t>
            </w:r>
          </w:p>
        </w:tc>
        <w:tc>
          <w:tcPr>
            <w:tcW w:w="1702" w:type="dxa"/>
            <w:tcBorders>
              <w:left w:val="single" w:color="000000" w:sz="4" w:space="0"/>
              <w:bottom w:val="single" w:color="000000" w:sz="4" w:space="0"/>
              <w:right w:val="single" w:color="000000" w:sz="4" w:space="0"/>
            </w:tcBorders>
          </w:tcPr>
          <w:p>
            <w:pPr>
              <w:pStyle w:val="57"/>
              <w:spacing w:before="13"/>
              <w:ind w:left="56" w:right="32"/>
              <w:jc w:val="center"/>
              <w:rPr>
                <w:rFonts w:ascii="黑体" w:eastAsia="黑体"/>
              </w:rPr>
            </w:pPr>
            <w:r>
              <w:rPr>
                <w:rFonts w:hint="eastAsia" w:ascii="黑体" w:eastAsia="黑体"/>
              </w:rPr>
              <w:t>在建工程</w:t>
            </w:r>
          </w:p>
          <w:p>
            <w:pPr>
              <w:pStyle w:val="57"/>
              <w:spacing w:before="3" w:line="270" w:lineRule="atLeast"/>
              <w:ind w:left="60" w:right="33"/>
              <w:jc w:val="center"/>
              <w:rPr>
                <w:rFonts w:ascii="黑体" w:hAnsi="黑体" w:eastAsia="黑体"/>
              </w:rPr>
            </w:pPr>
            <w:r>
              <w:rPr>
                <w:rFonts w:hint="eastAsia" w:ascii="黑体" w:hAnsi="黑体" w:eastAsia="黑体"/>
                <w:spacing w:val="-15"/>
              </w:rPr>
              <w:t>排放量</w:t>
            </w:r>
            <w:r>
              <w:rPr>
                <w:rFonts w:hint="eastAsia" w:ascii="黑体" w:hAnsi="黑体" w:eastAsia="黑体"/>
                <w:spacing w:val="-13"/>
              </w:rPr>
              <w:t>（</w:t>
            </w:r>
            <w:r>
              <w:rPr>
                <w:rFonts w:hint="eastAsia" w:ascii="黑体" w:hAnsi="黑体" w:eastAsia="黑体"/>
                <w:spacing w:val="-14"/>
              </w:rPr>
              <w:t>固体废物</w:t>
            </w:r>
            <w:r>
              <w:rPr>
                <w:rFonts w:hint="eastAsia" w:ascii="黑体" w:hAnsi="黑体" w:eastAsia="黑体"/>
                <w:spacing w:val="-15"/>
              </w:rPr>
              <w:t>产生量</w:t>
            </w:r>
            <w:r>
              <w:rPr>
                <w:rFonts w:hint="eastAsia" w:ascii="黑体" w:hAnsi="黑体" w:eastAsia="黑体"/>
                <w:spacing w:val="-8"/>
              </w:rPr>
              <w:t>）③</w:t>
            </w:r>
          </w:p>
        </w:tc>
        <w:tc>
          <w:tcPr>
            <w:tcW w:w="1558" w:type="dxa"/>
            <w:tcBorders>
              <w:left w:val="single" w:color="000000" w:sz="4" w:space="0"/>
              <w:bottom w:val="single" w:color="000000" w:sz="4" w:space="0"/>
              <w:right w:val="single" w:color="000000" w:sz="4" w:space="0"/>
            </w:tcBorders>
          </w:tcPr>
          <w:p>
            <w:pPr>
              <w:pStyle w:val="57"/>
              <w:spacing w:before="13"/>
              <w:ind w:left="28"/>
              <w:jc w:val="center"/>
              <w:rPr>
                <w:rFonts w:ascii="黑体" w:eastAsia="黑体"/>
              </w:rPr>
            </w:pPr>
            <w:r>
              <w:rPr>
                <w:rFonts w:hint="eastAsia" w:ascii="黑体" w:eastAsia="黑体"/>
              </w:rPr>
              <w:t>本项目</w:t>
            </w:r>
          </w:p>
          <w:p>
            <w:pPr>
              <w:pStyle w:val="57"/>
              <w:spacing w:before="3" w:line="270" w:lineRule="atLeast"/>
              <w:ind w:left="31"/>
              <w:jc w:val="center"/>
              <w:rPr>
                <w:rFonts w:ascii="黑体" w:hAnsi="黑体" w:eastAsia="黑体"/>
              </w:rPr>
            </w:pPr>
            <w:r>
              <w:rPr>
                <w:rFonts w:hint="eastAsia" w:ascii="黑体" w:hAnsi="黑体" w:eastAsia="黑体"/>
                <w:spacing w:val="-42"/>
              </w:rPr>
              <w:t>排放量</w:t>
            </w:r>
            <w:r>
              <w:rPr>
                <w:rFonts w:hint="eastAsia" w:ascii="黑体" w:hAnsi="黑体" w:eastAsia="黑体"/>
                <w:spacing w:val="-13"/>
              </w:rPr>
              <w:t>（</w:t>
            </w:r>
            <w:r>
              <w:rPr>
                <w:rFonts w:hint="eastAsia" w:ascii="黑体" w:hAnsi="黑体" w:eastAsia="黑体"/>
                <w:spacing w:val="-15"/>
              </w:rPr>
              <w:t>固体废物产生量</w:t>
            </w:r>
            <w:r>
              <w:rPr>
                <w:rFonts w:hint="eastAsia" w:ascii="黑体" w:hAnsi="黑体" w:eastAsia="黑体"/>
                <w:spacing w:val="-8"/>
              </w:rPr>
              <w:t>）④</w:t>
            </w:r>
          </w:p>
        </w:tc>
        <w:tc>
          <w:tcPr>
            <w:tcW w:w="1587" w:type="dxa"/>
            <w:tcBorders>
              <w:left w:val="single" w:color="000000" w:sz="4" w:space="0"/>
              <w:bottom w:val="single" w:color="000000" w:sz="4" w:space="0"/>
              <w:right w:val="single" w:color="000000" w:sz="4" w:space="0"/>
            </w:tcBorders>
          </w:tcPr>
          <w:p>
            <w:pPr>
              <w:pStyle w:val="57"/>
              <w:spacing w:before="149"/>
              <w:ind w:left="53" w:right="41"/>
              <w:jc w:val="center"/>
              <w:rPr>
                <w:rFonts w:ascii="黑体" w:eastAsia="黑体"/>
              </w:rPr>
            </w:pPr>
            <w:r>
              <w:rPr>
                <w:rFonts w:hint="eastAsia" w:ascii="黑体" w:eastAsia="黑体"/>
              </w:rPr>
              <w:t>以新带老削减量</w:t>
            </w:r>
          </w:p>
          <w:p>
            <w:pPr>
              <w:pStyle w:val="57"/>
              <w:spacing w:before="2"/>
              <w:ind w:left="53" w:right="41"/>
              <w:jc w:val="center"/>
              <w:rPr>
                <w:rFonts w:ascii="黑体" w:hAnsi="黑体" w:eastAsia="黑体"/>
              </w:rPr>
            </w:pPr>
            <w:r>
              <w:rPr>
                <w:rFonts w:hint="eastAsia" w:ascii="黑体" w:hAnsi="黑体" w:eastAsia="黑体"/>
                <w:spacing w:val="-34"/>
              </w:rPr>
              <w:t>（新建项目不填</w:t>
            </w:r>
            <w:r>
              <w:rPr>
                <w:rFonts w:hint="eastAsia" w:ascii="黑体" w:hAnsi="黑体" w:eastAsia="黑体"/>
                <w:spacing w:val="-17"/>
              </w:rPr>
              <w:t>）⑤</w:t>
            </w:r>
          </w:p>
        </w:tc>
        <w:tc>
          <w:tcPr>
            <w:tcW w:w="1725" w:type="dxa"/>
            <w:tcBorders>
              <w:left w:val="single" w:color="000000" w:sz="4" w:space="0"/>
              <w:bottom w:val="single" w:color="000000" w:sz="4" w:space="0"/>
              <w:right w:val="single" w:color="000000" w:sz="4" w:space="0"/>
            </w:tcBorders>
          </w:tcPr>
          <w:p>
            <w:pPr>
              <w:pStyle w:val="57"/>
              <w:spacing w:before="13"/>
              <w:ind w:left="29" w:right="18"/>
              <w:jc w:val="center"/>
              <w:rPr>
                <w:rFonts w:ascii="黑体" w:eastAsia="黑体"/>
              </w:rPr>
            </w:pPr>
            <w:r>
              <w:rPr>
                <w:rFonts w:hint="eastAsia" w:ascii="黑体" w:eastAsia="黑体"/>
              </w:rPr>
              <w:t>本项目建成后</w:t>
            </w:r>
          </w:p>
          <w:p>
            <w:pPr>
              <w:pStyle w:val="57"/>
              <w:spacing w:before="3" w:line="270" w:lineRule="atLeast"/>
              <w:ind w:left="29" w:right="-29"/>
              <w:jc w:val="center"/>
              <w:rPr>
                <w:rFonts w:ascii="黑体" w:hAnsi="黑体" w:eastAsia="黑体"/>
              </w:rPr>
            </w:pPr>
            <w:r>
              <w:rPr>
                <w:rFonts w:hint="eastAsia" w:ascii="黑体" w:hAnsi="黑体" w:eastAsia="黑体"/>
                <w:spacing w:val="-45"/>
              </w:rPr>
              <w:t>全厂排放量</w:t>
            </w:r>
            <w:r>
              <w:rPr>
                <w:rFonts w:hint="eastAsia" w:ascii="黑体" w:hAnsi="黑体" w:eastAsia="黑体"/>
                <w:spacing w:val="-34"/>
              </w:rPr>
              <w:t>（</w:t>
            </w:r>
            <w:r>
              <w:rPr>
                <w:rFonts w:hint="eastAsia" w:ascii="黑体" w:hAnsi="黑体" w:eastAsia="黑体"/>
                <w:spacing w:val="-28"/>
              </w:rPr>
              <w:t>固体废物产</w:t>
            </w:r>
            <w:r>
              <w:rPr>
                <w:rFonts w:hint="eastAsia" w:ascii="黑体" w:hAnsi="黑体" w:eastAsia="黑体"/>
                <w:spacing w:val="-34"/>
              </w:rPr>
              <w:t>生量</w:t>
            </w:r>
            <w:r>
              <w:rPr>
                <w:rFonts w:hint="eastAsia" w:ascii="黑体" w:hAnsi="黑体" w:eastAsia="黑体"/>
                <w:spacing w:val="-17"/>
              </w:rPr>
              <w:t>）⑥</w:t>
            </w:r>
          </w:p>
        </w:tc>
        <w:tc>
          <w:tcPr>
            <w:tcW w:w="1236" w:type="dxa"/>
            <w:tcBorders>
              <w:left w:val="single" w:color="000000" w:sz="4" w:space="0"/>
              <w:bottom w:val="single" w:color="000000" w:sz="4" w:space="0"/>
            </w:tcBorders>
          </w:tcPr>
          <w:p>
            <w:pPr>
              <w:pStyle w:val="57"/>
              <w:spacing w:before="149"/>
              <w:ind w:left="86" w:right="54"/>
              <w:jc w:val="center"/>
              <w:rPr>
                <w:rFonts w:ascii="黑体" w:eastAsia="黑体"/>
              </w:rPr>
            </w:pPr>
            <w:r>
              <w:rPr>
                <w:rFonts w:hint="eastAsia" w:ascii="黑体" w:eastAsia="黑体"/>
              </w:rPr>
              <w:t>变化量</w:t>
            </w:r>
          </w:p>
          <w:p>
            <w:pPr>
              <w:pStyle w:val="57"/>
              <w:spacing w:before="2"/>
              <w:ind w:left="20"/>
              <w:jc w:val="center"/>
              <w:rPr>
                <w:rFonts w:ascii="黑体" w:hAnsi="黑体"/>
              </w:rPr>
            </w:pPr>
            <w:r>
              <w:rPr>
                <w:rFonts w:ascii="黑体" w:hAnsi="黑体"/>
              </w:rPr>
              <w:t>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1625" w:type="dxa"/>
            <w:vMerge w:val="restart"/>
            <w:tcBorders>
              <w:top w:val="single" w:color="000000" w:sz="4" w:space="0"/>
              <w:bottom w:val="single" w:color="000000" w:sz="4" w:space="0"/>
              <w:right w:val="single" w:color="000000" w:sz="4" w:space="0"/>
            </w:tcBorders>
            <w:vAlign w:val="center"/>
          </w:tcPr>
          <w:p>
            <w:pPr>
              <w:pStyle w:val="57"/>
              <w:jc w:val="center"/>
            </w:pPr>
            <w:r>
              <w:t>废气</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VOCs</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lang w:val="en-US"/>
              </w:rPr>
              <w:t>0</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lang w:val="en-US"/>
              </w:rPr>
              <w:t>0</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w:t>
            </w: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w:t>
            </w:r>
          </w:p>
        </w:tc>
        <w:tc>
          <w:tcPr>
            <w:tcW w:w="1236" w:type="dxa"/>
            <w:tcBorders>
              <w:top w:val="single" w:color="000000" w:sz="4" w:space="0"/>
              <w:left w:val="single" w:color="000000" w:sz="4" w:space="0"/>
              <w:bottom w:val="single" w:color="000000" w:sz="4" w:space="0"/>
            </w:tcBorders>
            <w:vAlign w:val="center"/>
          </w:tcPr>
          <w:p>
            <w:pPr>
              <w:pStyle w:val="57"/>
              <w:spacing w:before="106"/>
              <w:jc w:val="center"/>
              <w:rPr>
                <w:lang w:val="en-US"/>
              </w:rPr>
            </w:pPr>
            <w:r>
              <w:rPr>
                <w:rFonts w:hint="eastAsia"/>
                <w:lang w:val="en-US"/>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trPr>
        <w:tc>
          <w:tcPr>
            <w:tcW w:w="1625" w:type="dxa"/>
            <w:vMerge w:val="continue"/>
            <w:tcBorders>
              <w:top w:val="nil"/>
              <w:bottom w:val="single" w:color="000000" w:sz="4" w:space="0"/>
              <w:right w:val="single" w:color="000000" w:sz="4" w:space="0"/>
            </w:tcBorders>
            <w:vAlign w:val="center"/>
          </w:tcPr>
          <w:p>
            <w:pPr>
              <w:jc w:val="center"/>
              <w:rPr>
                <w:sz w:val="2"/>
                <w:szCs w:val="2"/>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颗粒物</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0</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0</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0.055</w:t>
            </w:r>
            <w:r>
              <w:t>t/a</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w:t>
            </w: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rPr>
                <w:lang w:val="en-US"/>
              </w:rPr>
            </w:pPr>
            <w:r>
              <w:rPr>
                <w:rFonts w:hint="eastAsia"/>
                <w:lang w:val="en-US"/>
              </w:rPr>
              <w:t>0.055</w:t>
            </w:r>
            <w:r>
              <w:t>t/a</w:t>
            </w:r>
          </w:p>
        </w:tc>
        <w:tc>
          <w:tcPr>
            <w:tcW w:w="1236" w:type="dxa"/>
            <w:tcBorders>
              <w:top w:val="single" w:color="000000" w:sz="4" w:space="0"/>
              <w:left w:val="single" w:color="000000" w:sz="4" w:space="0"/>
              <w:bottom w:val="single" w:color="000000" w:sz="4" w:space="0"/>
            </w:tcBorders>
            <w:vAlign w:val="center"/>
          </w:tcPr>
          <w:p>
            <w:pPr>
              <w:pStyle w:val="57"/>
              <w:spacing w:before="106"/>
              <w:jc w:val="center"/>
              <w:rPr>
                <w:lang w:val="en-US"/>
              </w:rPr>
            </w:pPr>
            <w:r>
              <w:rPr>
                <w:rFonts w:hint="eastAsia"/>
                <w:lang w:val="en-US"/>
              </w:rPr>
              <w:t>0.055</w:t>
            </w:r>
            <w: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trPr>
        <w:tc>
          <w:tcPr>
            <w:tcW w:w="1625" w:type="dxa"/>
            <w:vMerge w:val="restart"/>
            <w:tcBorders>
              <w:top w:val="single" w:color="000000" w:sz="4" w:space="0"/>
              <w:bottom w:val="single" w:color="000000" w:sz="4" w:space="0"/>
              <w:right w:val="single" w:color="000000" w:sz="4" w:space="0"/>
            </w:tcBorders>
            <w:vAlign w:val="center"/>
          </w:tcPr>
          <w:p>
            <w:pPr>
              <w:pStyle w:val="57"/>
              <w:jc w:val="center"/>
            </w:pPr>
            <w:r>
              <w:t>废水</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57"/>
              <w:spacing w:before="107"/>
              <w:jc w:val="center"/>
              <w:rPr>
                <w:lang w:val="en-US"/>
              </w:rPr>
            </w:pPr>
            <w:r>
              <w:rPr>
                <w:rFonts w:hint="eastAsia"/>
                <w:lang w:val="en-US"/>
              </w:rPr>
              <w:t>COD</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7"/>
              <w:spacing w:before="107"/>
              <w:jc w:val="center"/>
              <w:rPr>
                <w:lang w:val="en-US"/>
              </w:rPr>
            </w:pPr>
            <w:r>
              <w:rPr>
                <w:rFonts w:hint="eastAsia"/>
                <w:lang w:val="en-US"/>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57"/>
              <w:spacing w:before="107"/>
              <w:jc w:val="center"/>
              <w:rPr>
                <w:lang w:val="en-US"/>
              </w:rPr>
            </w:pPr>
            <w:r>
              <w:rPr>
                <w:rFonts w:hint="eastAsia"/>
                <w:szCs w:val="21"/>
                <w:lang w:val="en-US"/>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0.0</w:t>
            </w:r>
            <w:r>
              <w:rPr>
                <w:rFonts w:hint="eastAsia"/>
                <w:lang w:val="en-US" w:eastAsia="zh-CN"/>
              </w:rPr>
              <w:t>432</w:t>
            </w:r>
            <w:r>
              <w:t>t/a</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57"/>
              <w:spacing w:before="107"/>
              <w:jc w:val="center"/>
            </w:pPr>
            <w:r>
              <w:rPr>
                <w:rFonts w:hint="eastAsia"/>
                <w:lang w:val="en-US"/>
              </w:rPr>
              <w:t>/</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rPr>
              <w:t>0.0</w:t>
            </w:r>
            <w:r>
              <w:rPr>
                <w:rFonts w:hint="eastAsia"/>
                <w:lang w:val="en-US" w:eastAsia="zh-CN"/>
              </w:rPr>
              <w:t>432</w:t>
            </w:r>
            <w:r>
              <w:t>t/a</w:t>
            </w:r>
          </w:p>
        </w:tc>
        <w:tc>
          <w:tcPr>
            <w:tcW w:w="1236" w:type="dxa"/>
            <w:tcBorders>
              <w:top w:val="single" w:color="000000" w:sz="4" w:space="0"/>
              <w:left w:val="single" w:color="000000" w:sz="4" w:space="0"/>
              <w:bottom w:val="single" w:color="000000" w:sz="4" w:space="0"/>
            </w:tcBorders>
            <w:vAlign w:val="center"/>
          </w:tcPr>
          <w:p>
            <w:pPr>
              <w:jc w:val="center"/>
              <w:rPr>
                <w:szCs w:val="21"/>
              </w:rPr>
            </w:pPr>
            <w:r>
              <w:rPr>
                <w:rFonts w:hint="eastAsia"/>
              </w:rPr>
              <w:t>0.0</w:t>
            </w:r>
            <w:r>
              <w:rPr>
                <w:rFonts w:hint="eastAsia"/>
                <w:lang w:val="en-US" w:eastAsia="zh-CN"/>
              </w:rPr>
              <w:t>432</w:t>
            </w:r>
            <w: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1" w:hRule="atLeast"/>
        </w:trPr>
        <w:tc>
          <w:tcPr>
            <w:tcW w:w="1625" w:type="dxa"/>
            <w:vMerge w:val="continue"/>
            <w:tcBorders>
              <w:top w:val="nil"/>
              <w:bottom w:val="single" w:color="000000" w:sz="4" w:space="0"/>
              <w:right w:val="single" w:color="000000" w:sz="4" w:space="0"/>
            </w:tcBorders>
            <w:vAlign w:val="center"/>
          </w:tcPr>
          <w:p>
            <w:pPr>
              <w:jc w:val="center"/>
              <w:rPr>
                <w:sz w:val="2"/>
                <w:szCs w:val="2"/>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pPr>
            <w:r>
              <w:rPr>
                <w:rFonts w:hint="eastAsia"/>
              </w:rPr>
              <w:t>氨氮</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pPr>
            <w:r>
              <w:rPr>
                <w:rFonts w:hint="eastAsia"/>
                <w:lang w:val="en-US"/>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pPr>
            <w:r>
              <w:rPr>
                <w:rFonts w:hint="eastAsia"/>
                <w:szCs w:val="21"/>
                <w:lang w:val="en-US"/>
              </w:rPr>
              <w:t>/</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0.</w:t>
            </w:r>
            <w:r>
              <w:rPr>
                <w:rFonts w:hint="eastAsia"/>
                <w:lang w:val="en-US" w:eastAsia="zh-CN"/>
              </w:rPr>
              <w:t>0072</w:t>
            </w:r>
            <w:r>
              <w:t>t/a</w:t>
            </w:r>
          </w:p>
        </w:tc>
        <w:tc>
          <w:tcPr>
            <w:tcW w:w="1587" w:type="dxa"/>
            <w:tcBorders>
              <w:top w:val="single" w:color="000000" w:sz="4" w:space="0"/>
              <w:left w:val="single" w:color="000000" w:sz="4" w:space="0"/>
              <w:bottom w:val="single" w:color="000000" w:sz="4" w:space="0"/>
              <w:right w:val="single" w:color="000000" w:sz="4" w:space="0"/>
            </w:tcBorders>
            <w:vAlign w:val="center"/>
          </w:tcPr>
          <w:p>
            <w:pPr>
              <w:pStyle w:val="57"/>
              <w:spacing w:before="106"/>
              <w:jc w:val="center"/>
            </w:pPr>
            <w:r>
              <w:rPr>
                <w:rFonts w:hint="eastAsia"/>
                <w:lang w:val="en-US"/>
              </w:rPr>
              <w:t>/</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rPr>
              <w:t>0.</w:t>
            </w:r>
            <w:r>
              <w:rPr>
                <w:rFonts w:hint="eastAsia"/>
                <w:lang w:val="en-US" w:eastAsia="zh-CN"/>
              </w:rPr>
              <w:t>0072</w:t>
            </w:r>
            <w:r>
              <w:t>t/a</w:t>
            </w:r>
          </w:p>
        </w:tc>
        <w:tc>
          <w:tcPr>
            <w:tcW w:w="1236" w:type="dxa"/>
            <w:tcBorders>
              <w:top w:val="single" w:color="000000" w:sz="4" w:space="0"/>
              <w:left w:val="single" w:color="000000" w:sz="4" w:space="0"/>
              <w:bottom w:val="single" w:color="000000" w:sz="4" w:space="0"/>
            </w:tcBorders>
            <w:vAlign w:val="center"/>
          </w:tcPr>
          <w:p>
            <w:pPr>
              <w:jc w:val="center"/>
              <w:rPr>
                <w:szCs w:val="21"/>
              </w:rPr>
            </w:pPr>
            <w:r>
              <w:rPr>
                <w:rFonts w:hint="eastAsia"/>
              </w:rPr>
              <w:t>0.</w:t>
            </w:r>
            <w:r>
              <w:rPr>
                <w:rFonts w:hint="eastAsia"/>
                <w:lang w:val="en-US" w:eastAsia="zh-CN"/>
              </w:rPr>
              <w:t>0072</w:t>
            </w:r>
            <w: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3" w:hRule="atLeast"/>
        </w:trPr>
        <w:tc>
          <w:tcPr>
            <w:tcW w:w="1625" w:type="dxa"/>
            <w:tcBorders>
              <w:top w:val="single" w:color="000000" w:sz="4" w:space="0"/>
              <w:right w:val="single" w:color="000000" w:sz="4" w:space="0"/>
            </w:tcBorders>
            <w:vAlign w:val="center"/>
          </w:tcPr>
          <w:p>
            <w:pPr>
              <w:pStyle w:val="57"/>
              <w:spacing w:line="242" w:lineRule="auto"/>
              <w:jc w:val="center"/>
            </w:pPr>
            <w:r>
              <w:t>一般工业固体废物</w:t>
            </w:r>
          </w:p>
        </w:tc>
        <w:tc>
          <w:tcPr>
            <w:tcW w:w="1328" w:type="dxa"/>
            <w:tcBorders>
              <w:top w:val="single" w:color="000000" w:sz="4" w:space="0"/>
              <w:left w:val="single" w:color="000000" w:sz="4" w:space="0"/>
              <w:right w:val="single" w:color="000000" w:sz="4" w:space="0"/>
            </w:tcBorders>
            <w:vAlign w:val="center"/>
          </w:tcPr>
          <w:p>
            <w:pPr>
              <w:pStyle w:val="57"/>
              <w:spacing w:before="106"/>
              <w:jc w:val="center"/>
            </w:pPr>
            <w:r>
              <w:rPr>
                <w:rFonts w:hint="eastAsia"/>
              </w:rPr>
              <w:t>废包装材料</w:t>
            </w:r>
          </w:p>
        </w:tc>
        <w:tc>
          <w:tcPr>
            <w:tcW w:w="1702" w:type="dxa"/>
            <w:tcBorders>
              <w:top w:val="single" w:color="000000" w:sz="4" w:space="0"/>
              <w:left w:val="single" w:color="000000" w:sz="4" w:space="0"/>
              <w:right w:val="single" w:color="000000" w:sz="4" w:space="0"/>
            </w:tcBorders>
            <w:vAlign w:val="center"/>
          </w:tcPr>
          <w:p>
            <w:pPr>
              <w:pStyle w:val="57"/>
              <w:spacing w:before="106"/>
              <w:jc w:val="center"/>
            </w:pPr>
            <w:r>
              <w:rPr>
                <w:rFonts w:hint="eastAsia"/>
                <w:lang w:val="en-US"/>
              </w:rPr>
              <w:t>/</w:t>
            </w:r>
          </w:p>
        </w:tc>
        <w:tc>
          <w:tcPr>
            <w:tcW w:w="1277" w:type="dxa"/>
            <w:tcBorders>
              <w:top w:val="single" w:color="000000" w:sz="4" w:space="0"/>
              <w:left w:val="single" w:color="000000" w:sz="4" w:space="0"/>
              <w:right w:val="single" w:color="000000" w:sz="4" w:space="0"/>
            </w:tcBorders>
            <w:vAlign w:val="center"/>
          </w:tcPr>
          <w:p>
            <w:pPr>
              <w:pStyle w:val="57"/>
              <w:spacing w:before="106"/>
              <w:jc w:val="center"/>
            </w:pPr>
            <w:r>
              <w:rPr>
                <w:rFonts w:hint="eastAsia"/>
                <w:lang w:val="en-US"/>
              </w:rPr>
              <w:t>/</w:t>
            </w:r>
          </w:p>
        </w:tc>
        <w:tc>
          <w:tcPr>
            <w:tcW w:w="1702" w:type="dxa"/>
            <w:tcBorders>
              <w:top w:val="single" w:color="000000" w:sz="4" w:space="0"/>
              <w:left w:val="single" w:color="000000" w:sz="4" w:space="0"/>
              <w:right w:val="single" w:color="000000" w:sz="4" w:space="0"/>
            </w:tcBorders>
            <w:vAlign w:val="center"/>
          </w:tcPr>
          <w:p>
            <w:pPr>
              <w:pStyle w:val="57"/>
              <w:spacing w:before="106"/>
              <w:jc w:val="center"/>
            </w:pPr>
            <w:r>
              <w:rPr>
                <w:rFonts w:hint="eastAsia"/>
                <w:lang w:val="en-US"/>
              </w:rPr>
              <w:t>/</w:t>
            </w:r>
          </w:p>
        </w:tc>
        <w:tc>
          <w:tcPr>
            <w:tcW w:w="1558" w:type="dxa"/>
            <w:tcBorders>
              <w:top w:val="single" w:color="000000" w:sz="4" w:space="0"/>
              <w:left w:val="single" w:color="000000" w:sz="4" w:space="0"/>
              <w:right w:val="single" w:color="000000" w:sz="4" w:space="0"/>
            </w:tcBorders>
            <w:vAlign w:val="center"/>
          </w:tcPr>
          <w:p>
            <w:pPr>
              <w:pStyle w:val="57"/>
              <w:spacing w:before="106"/>
              <w:jc w:val="center"/>
              <w:rPr>
                <w:lang w:val="en-US"/>
              </w:rPr>
            </w:pPr>
            <w:r>
              <w:rPr>
                <w:rFonts w:hint="eastAsia"/>
                <w:lang w:val="en-US"/>
              </w:rPr>
              <w:t>1.8t/a</w:t>
            </w:r>
          </w:p>
        </w:tc>
        <w:tc>
          <w:tcPr>
            <w:tcW w:w="1587" w:type="dxa"/>
            <w:tcBorders>
              <w:top w:val="single" w:color="000000" w:sz="4" w:space="0"/>
              <w:left w:val="single" w:color="000000" w:sz="4" w:space="0"/>
              <w:right w:val="single" w:color="000000" w:sz="4" w:space="0"/>
            </w:tcBorders>
            <w:vAlign w:val="center"/>
          </w:tcPr>
          <w:p>
            <w:pPr>
              <w:pStyle w:val="57"/>
              <w:spacing w:before="106"/>
              <w:jc w:val="center"/>
            </w:pPr>
            <w:r>
              <w:rPr>
                <w:rFonts w:hint="eastAsia"/>
                <w:lang w:val="en-US"/>
              </w:rPr>
              <w:t>/</w:t>
            </w:r>
          </w:p>
        </w:tc>
        <w:tc>
          <w:tcPr>
            <w:tcW w:w="1725" w:type="dxa"/>
            <w:tcBorders>
              <w:top w:val="single" w:color="000000" w:sz="4" w:space="0"/>
              <w:left w:val="single" w:color="000000" w:sz="4" w:space="0"/>
              <w:right w:val="single" w:color="000000" w:sz="4" w:space="0"/>
            </w:tcBorders>
            <w:vAlign w:val="center"/>
          </w:tcPr>
          <w:p>
            <w:pPr>
              <w:pStyle w:val="57"/>
              <w:spacing w:before="106"/>
              <w:jc w:val="center"/>
            </w:pPr>
            <w:r>
              <w:rPr>
                <w:rFonts w:hint="eastAsia"/>
                <w:lang w:val="en-US"/>
              </w:rPr>
              <w:t>1.8t/a</w:t>
            </w:r>
          </w:p>
        </w:tc>
        <w:tc>
          <w:tcPr>
            <w:tcW w:w="1236" w:type="dxa"/>
            <w:tcBorders>
              <w:top w:val="single" w:color="000000" w:sz="4" w:space="0"/>
              <w:left w:val="single" w:color="000000" w:sz="4" w:space="0"/>
            </w:tcBorders>
            <w:vAlign w:val="center"/>
          </w:tcPr>
          <w:p>
            <w:pPr>
              <w:pStyle w:val="57"/>
              <w:spacing w:before="106"/>
              <w:jc w:val="center"/>
            </w:pPr>
            <w:r>
              <w:rPr>
                <w:rFonts w:hint="eastAsia"/>
                <w:lang w:val="en-US"/>
              </w:rPr>
              <w:t>1.8t/a</w:t>
            </w:r>
          </w:p>
        </w:tc>
      </w:tr>
    </w:tbl>
    <w:p>
      <w:pPr>
        <w:pStyle w:val="5"/>
        <w:spacing w:before="11"/>
        <w:rPr>
          <w:rFonts w:ascii="微软雅黑"/>
          <w:sz w:val="6"/>
        </w:rPr>
      </w:pPr>
    </w:p>
    <w:p>
      <w:pPr>
        <w:spacing w:before="71"/>
        <w:ind w:left="151"/>
        <w:sectPr>
          <w:footerReference r:id="rId6" w:type="default"/>
          <w:pgSz w:w="16840" w:h="11910" w:orient="landscape"/>
          <w:pgMar w:top="1100" w:right="1420" w:bottom="1000" w:left="1380" w:header="0" w:footer="817" w:gutter="0"/>
          <w:cols w:space="720" w:num="1"/>
        </w:sectPr>
      </w:pPr>
      <w:r>
        <w:t>注：⑥=①+③+④-⑤；⑦=⑥-①</w:t>
      </w:r>
    </w:p>
    <w:p>
      <w:pPr>
        <w:rPr>
          <w:rFonts w:hint="eastAsia"/>
          <w:lang w:eastAsia="zh-CN"/>
        </w:rPr>
      </w:pPr>
      <w:bookmarkStart w:id="3" w:name="_GoBack"/>
      <w:bookmarkEnd w:id="3"/>
      <w:r>
        <w:drawing>
          <wp:inline distT="0" distB="0" distL="114300" distR="114300">
            <wp:extent cx="8223885" cy="5905500"/>
            <wp:effectExtent l="0" t="0" r="5715" b="0"/>
            <wp:docPr id="5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3"/>
                    <pic:cNvPicPr>
                      <a:picLocks noChangeAspect="1"/>
                    </pic:cNvPicPr>
                  </pic:nvPicPr>
                  <pic:blipFill>
                    <a:blip r:embed="rId15"/>
                    <a:stretch>
                      <a:fillRect/>
                    </a:stretch>
                  </pic:blipFill>
                  <pic:spPr>
                    <a:xfrm>
                      <a:off x="0" y="0"/>
                      <a:ext cx="8223885" cy="5905500"/>
                    </a:xfrm>
                    <a:prstGeom prst="rect">
                      <a:avLst/>
                    </a:prstGeom>
                    <a:noFill/>
                    <a:ln>
                      <a:noFill/>
                    </a:ln>
                  </pic:spPr>
                </pic:pic>
              </a:graphicData>
            </a:graphic>
          </wp:inline>
        </w:drawing>
      </w:r>
    </w:p>
    <w:sectPr>
      <w:pgSz w:w="15840" w:h="12240" w:orient="landscape"/>
      <w:pgMar w:top="1800" w:right="1440" w:bottom="1800" w:left="1440" w:header="720" w:footer="720" w:gutter="0"/>
      <w:lnNumType w:countBy="0" w:distance="36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9397" w:y="107"/>
      <w:rPr>
        <w:rStyle w:val="22"/>
        <w:rFonts w:ascii="宋体" w:hAnsi="宋体"/>
        <w:sz w:val="28"/>
        <w:szCs w:val="28"/>
      </w:rPr>
    </w:pPr>
    <w:r>
      <w:rPr>
        <w:rStyle w:val="22"/>
        <w:rFonts w:hint="eastAsia" w:ascii="宋体" w:hAnsi="宋体"/>
        <w:sz w:val="28"/>
        <w:szCs w:val="28"/>
      </w:rPr>
      <w:t>—</w:t>
    </w:r>
    <w:r>
      <w:rPr>
        <w:rStyle w:val="22"/>
        <w:rFonts w:hint="eastAsia" w:ascii="宋体" w:hAnsi="宋体"/>
        <w:sz w:val="20"/>
      </w:rPr>
      <w:t xml:space="preserve">  </w:t>
    </w:r>
    <w:r>
      <w:rPr>
        <w:rStyle w:val="22"/>
        <w:rFonts w:ascii="宋体" w:hAnsi="宋体"/>
        <w:sz w:val="26"/>
        <w:szCs w:val="26"/>
      </w:rPr>
      <w:fldChar w:fldCharType="begin"/>
    </w:r>
    <w:r>
      <w:rPr>
        <w:rStyle w:val="22"/>
        <w:rFonts w:ascii="宋体" w:hAnsi="宋体"/>
        <w:sz w:val="26"/>
        <w:szCs w:val="26"/>
      </w:rPr>
      <w:instrText xml:space="preserve">PAGE  </w:instrText>
    </w:r>
    <w:r>
      <w:rPr>
        <w:rStyle w:val="22"/>
        <w:rFonts w:ascii="宋体" w:hAnsi="宋体"/>
        <w:sz w:val="26"/>
        <w:szCs w:val="26"/>
      </w:rPr>
      <w:fldChar w:fldCharType="separate"/>
    </w:r>
    <w:r>
      <w:rPr>
        <w:rStyle w:val="22"/>
        <w:rFonts w:ascii="宋体" w:hAnsi="宋体"/>
        <w:sz w:val="26"/>
        <w:szCs w:val="26"/>
      </w:rPr>
      <w:t>32</w:t>
    </w:r>
    <w:r>
      <w:rPr>
        <w:rStyle w:val="22"/>
        <w:rFonts w:ascii="宋体" w:hAnsi="宋体"/>
        <w:sz w:val="26"/>
        <w:szCs w:val="26"/>
      </w:rPr>
      <w:fldChar w:fldCharType="end"/>
    </w:r>
    <w:r>
      <w:rPr>
        <w:rStyle w:val="22"/>
        <w:rFonts w:hint="eastAsia" w:ascii="宋体" w:hAnsi="宋体"/>
        <w:sz w:val="20"/>
      </w:rPr>
      <w:t xml:space="preserve">  </w:t>
    </w:r>
    <w:r>
      <w:rPr>
        <w:rStyle w:val="22"/>
        <w:rFonts w:hint="eastAsia" w:ascii="宋体" w:hAnsi="宋体"/>
        <w:sz w:val="28"/>
        <w:szCs w:val="28"/>
      </w:rPr>
      <w:t>—</w:t>
    </w:r>
  </w:p>
  <w:p>
    <w:pPr>
      <w:pStyle w:val="13"/>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9133" w:y="-83"/>
      <w:rPr>
        <w:rStyle w:val="22"/>
        <w:rFonts w:ascii="宋体" w:hAnsi="宋体"/>
        <w:sz w:val="28"/>
        <w:szCs w:val="28"/>
      </w:rPr>
    </w:pPr>
    <w:r>
      <w:rPr>
        <w:rStyle w:val="22"/>
        <w:rFonts w:hint="eastAsia" w:ascii="宋体" w:hAnsi="宋体"/>
        <w:sz w:val="28"/>
        <w:szCs w:val="28"/>
      </w:rPr>
      <w:t>—</w:t>
    </w:r>
    <w:r>
      <w:rPr>
        <w:rStyle w:val="22"/>
        <w:rFonts w:hint="eastAsia" w:ascii="宋体" w:hAnsi="宋体"/>
        <w:sz w:val="20"/>
      </w:rPr>
      <w:t xml:space="preserve">  </w:t>
    </w:r>
    <w:r>
      <w:rPr>
        <w:rStyle w:val="22"/>
        <w:rFonts w:ascii="宋体" w:hAnsi="宋体"/>
        <w:sz w:val="26"/>
        <w:szCs w:val="26"/>
      </w:rPr>
      <w:fldChar w:fldCharType="begin"/>
    </w:r>
    <w:r>
      <w:rPr>
        <w:rStyle w:val="22"/>
        <w:rFonts w:ascii="宋体" w:hAnsi="宋体"/>
        <w:sz w:val="26"/>
        <w:szCs w:val="26"/>
      </w:rPr>
      <w:instrText xml:space="preserve">PAGE  </w:instrText>
    </w:r>
    <w:r>
      <w:rPr>
        <w:rStyle w:val="22"/>
        <w:rFonts w:ascii="宋体" w:hAnsi="宋体"/>
        <w:sz w:val="26"/>
        <w:szCs w:val="26"/>
      </w:rPr>
      <w:fldChar w:fldCharType="separate"/>
    </w:r>
    <w:r>
      <w:rPr>
        <w:rStyle w:val="22"/>
        <w:rFonts w:ascii="宋体" w:hAnsi="宋体"/>
        <w:sz w:val="26"/>
        <w:szCs w:val="26"/>
      </w:rPr>
      <w:t>35</w:t>
    </w:r>
    <w:r>
      <w:rPr>
        <w:rStyle w:val="22"/>
        <w:rFonts w:ascii="宋体" w:hAnsi="宋体"/>
        <w:sz w:val="26"/>
        <w:szCs w:val="26"/>
      </w:rPr>
      <w:fldChar w:fldCharType="end"/>
    </w:r>
    <w:r>
      <w:rPr>
        <w:rStyle w:val="22"/>
        <w:rFonts w:hint="eastAsia" w:ascii="宋体" w:hAnsi="宋体"/>
        <w:sz w:val="20"/>
      </w:rPr>
      <w:t xml:space="preserve">  </w:t>
    </w:r>
    <w:r>
      <w:rPr>
        <w:rStyle w:val="22"/>
        <w:rFonts w:hint="eastAsia" w:ascii="宋体" w:hAnsi="宋体"/>
        <w:sz w:val="28"/>
        <w:szCs w:val="28"/>
      </w:rPr>
      <w:t>—</w:t>
    </w:r>
  </w:p>
  <w:p>
    <w:pPr>
      <w:pStyle w:val="13"/>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42104"/>
    <w:multiLevelType w:val="singleLevel"/>
    <w:tmpl w:val="C3E42104"/>
    <w:lvl w:ilvl="0" w:tentative="0">
      <w:start w:val="2"/>
      <w:numFmt w:val="decimal"/>
      <w:suff w:val="nothing"/>
      <w:lvlText w:val="（%1）"/>
      <w:lvlJc w:val="left"/>
    </w:lvl>
  </w:abstractNum>
  <w:abstractNum w:abstractNumId="1">
    <w:nsid w:val="DA7E5532"/>
    <w:multiLevelType w:val="singleLevel"/>
    <w:tmpl w:val="DA7E5532"/>
    <w:lvl w:ilvl="0" w:tentative="0">
      <w:start w:val="1"/>
      <w:numFmt w:val="bullet"/>
      <w:pStyle w:val="9"/>
      <w:lvlText w:val=""/>
      <w:lvlJc w:val="left"/>
      <w:pPr>
        <w:tabs>
          <w:tab w:val="left" w:pos="2040"/>
        </w:tabs>
        <w:ind w:left="2040" w:hanging="360"/>
      </w:pPr>
      <w:rPr>
        <w:rFonts w:hint="default" w:ascii="Wingdings" w:hAnsi="Wingdings"/>
      </w:rPr>
    </w:lvl>
  </w:abstractNum>
  <w:abstractNum w:abstractNumId="2">
    <w:nsid w:val="2D0F66F4"/>
    <w:multiLevelType w:val="singleLevel"/>
    <w:tmpl w:val="2D0F66F4"/>
    <w:lvl w:ilvl="0" w:tentative="0">
      <w:start w:val="3"/>
      <w:numFmt w:val="decimal"/>
      <w:suff w:val="nothing"/>
      <w:lvlText w:val="（%1）"/>
      <w:lvlJc w:val="left"/>
    </w:lvl>
  </w:abstractNum>
  <w:abstractNum w:abstractNumId="3">
    <w:nsid w:val="3F956B73"/>
    <w:multiLevelType w:val="multilevel"/>
    <w:tmpl w:val="3F956B73"/>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A1B87A7"/>
    <w:multiLevelType w:val="singleLevel"/>
    <w:tmpl w:val="5A1B87A7"/>
    <w:lvl w:ilvl="0" w:tentative="0">
      <w:start w:val="2"/>
      <w:numFmt w:val="decimal"/>
      <w:suff w:val="nothing"/>
      <w:lvlText w:val="（%1）"/>
      <w:lvlJc w:val="left"/>
    </w:lvl>
  </w:abstractNum>
  <w:abstractNum w:abstractNumId="5">
    <w:nsid w:val="6738DA64"/>
    <w:multiLevelType w:val="singleLevel"/>
    <w:tmpl w:val="6738DA64"/>
    <w:lvl w:ilvl="0" w:tentative="0">
      <w:start w:val="1"/>
      <w:numFmt w:val="lowerLetter"/>
      <w:lvlText w:val="%1."/>
      <w:lvlJc w:val="left"/>
      <w:pPr>
        <w:tabs>
          <w:tab w:val="left" w:pos="312"/>
        </w:tabs>
      </w:pPr>
    </w:lvl>
  </w:abstractNum>
  <w:abstractNum w:abstractNumId="6">
    <w:nsid w:val="7C7F621D"/>
    <w:multiLevelType w:val="multilevel"/>
    <w:tmpl w:val="7C7F621D"/>
    <w:lvl w:ilvl="0" w:tentative="0">
      <w:start w:val="1"/>
      <w:numFmt w:val="decimal"/>
      <w:lvlText w:val="%1、"/>
      <w:lvlJc w:val="left"/>
      <w:pPr>
        <w:ind w:left="357"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98"/>
    <w:rsid w:val="00004430"/>
    <w:rsid w:val="00005EC3"/>
    <w:rsid w:val="000060B3"/>
    <w:rsid w:val="000071D5"/>
    <w:rsid w:val="00010826"/>
    <w:rsid w:val="00013C57"/>
    <w:rsid w:val="0001417F"/>
    <w:rsid w:val="00015C89"/>
    <w:rsid w:val="00016022"/>
    <w:rsid w:val="000206D1"/>
    <w:rsid w:val="00020A4D"/>
    <w:rsid w:val="000230E2"/>
    <w:rsid w:val="00026369"/>
    <w:rsid w:val="000275EB"/>
    <w:rsid w:val="000309AF"/>
    <w:rsid w:val="0003582F"/>
    <w:rsid w:val="00035C34"/>
    <w:rsid w:val="00036DE8"/>
    <w:rsid w:val="0004091C"/>
    <w:rsid w:val="0004364B"/>
    <w:rsid w:val="00046E75"/>
    <w:rsid w:val="00047165"/>
    <w:rsid w:val="00047EBF"/>
    <w:rsid w:val="0005042B"/>
    <w:rsid w:val="000514F0"/>
    <w:rsid w:val="00051BAF"/>
    <w:rsid w:val="00053B4C"/>
    <w:rsid w:val="000548A2"/>
    <w:rsid w:val="000559D5"/>
    <w:rsid w:val="00056B6E"/>
    <w:rsid w:val="0006011B"/>
    <w:rsid w:val="000603BB"/>
    <w:rsid w:val="00060652"/>
    <w:rsid w:val="00061905"/>
    <w:rsid w:val="00061B1F"/>
    <w:rsid w:val="00062663"/>
    <w:rsid w:val="00062735"/>
    <w:rsid w:val="000630EC"/>
    <w:rsid w:val="00063C86"/>
    <w:rsid w:val="00063C8C"/>
    <w:rsid w:val="00065354"/>
    <w:rsid w:val="0006591D"/>
    <w:rsid w:val="00065F51"/>
    <w:rsid w:val="000676B0"/>
    <w:rsid w:val="00070A41"/>
    <w:rsid w:val="00072681"/>
    <w:rsid w:val="000727AD"/>
    <w:rsid w:val="000733C4"/>
    <w:rsid w:val="00074783"/>
    <w:rsid w:val="00075A33"/>
    <w:rsid w:val="0007643E"/>
    <w:rsid w:val="0008070B"/>
    <w:rsid w:val="00080A6B"/>
    <w:rsid w:val="00080DC2"/>
    <w:rsid w:val="000810AC"/>
    <w:rsid w:val="00081A02"/>
    <w:rsid w:val="00082231"/>
    <w:rsid w:val="00082DA6"/>
    <w:rsid w:val="000855DD"/>
    <w:rsid w:val="000857AE"/>
    <w:rsid w:val="00086061"/>
    <w:rsid w:val="0008652B"/>
    <w:rsid w:val="00091240"/>
    <w:rsid w:val="0009244C"/>
    <w:rsid w:val="00092D38"/>
    <w:rsid w:val="0009377B"/>
    <w:rsid w:val="00095ECA"/>
    <w:rsid w:val="000977D8"/>
    <w:rsid w:val="000A20C9"/>
    <w:rsid w:val="000A269B"/>
    <w:rsid w:val="000A5B27"/>
    <w:rsid w:val="000A6B9E"/>
    <w:rsid w:val="000B058F"/>
    <w:rsid w:val="000B3FB3"/>
    <w:rsid w:val="000B4467"/>
    <w:rsid w:val="000B4DB9"/>
    <w:rsid w:val="000B5590"/>
    <w:rsid w:val="000B78F8"/>
    <w:rsid w:val="000C09AC"/>
    <w:rsid w:val="000C300A"/>
    <w:rsid w:val="000C3AF0"/>
    <w:rsid w:val="000C42BA"/>
    <w:rsid w:val="000C4855"/>
    <w:rsid w:val="000C486E"/>
    <w:rsid w:val="000C74AD"/>
    <w:rsid w:val="000C767F"/>
    <w:rsid w:val="000C77DE"/>
    <w:rsid w:val="000C79EC"/>
    <w:rsid w:val="000D0B07"/>
    <w:rsid w:val="000D1D24"/>
    <w:rsid w:val="000D55B3"/>
    <w:rsid w:val="000D5A44"/>
    <w:rsid w:val="000D60FB"/>
    <w:rsid w:val="000D7A27"/>
    <w:rsid w:val="000D7A3C"/>
    <w:rsid w:val="000E0606"/>
    <w:rsid w:val="000E083C"/>
    <w:rsid w:val="000E2AB7"/>
    <w:rsid w:val="000E2B04"/>
    <w:rsid w:val="000E3ED2"/>
    <w:rsid w:val="000F0EEC"/>
    <w:rsid w:val="000F6B12"/>
    <w:rsid w:val="0010271B"/>
    <w:rsid w:val="00103ECE"/>
    <w:rsid w:val="00103FA9"/>
    <w:rsid w:val="00107016"/>
    <w:rsid w:val="00110622"/>
    <w:rsid w:val="00110B39"/>
    <w:rsid w:val="00112547"/>
    <w:rsid w:val="001140D9"/>
    <w:rsid w:val="00116174"/>
    <w:rsid w:val="001169FC"/>
    <w:rsid w:val="00120864"/>
    <w:rsid w:val="001248B5"/>
    <w:rsid w:val="00127CE2"/>
    <w:rsid w:val="00130E23"/>
    <w:rsid w:val="00130F6C"/>
    <w:rsid w:val="00131ECA"/>
    <w:rsid w:val="00131F42"/>
    <w:rsid w:val="0013285B"/>
    <w:rsid w:val="00134CBC"/>
    <w:rsid w:val="00134D62"/>
    <w:rsid w:val="001357F1"/>
    <w:rsid w:val="00135F4D"/>
    <w:rsid w:val="00140735"/>
    <w:rsid w:val="00140FA8"/>
    <w:rsid w:val="00141B4B"/>
    <w:rsid w:val="00141F75"/>
    <w:rsid w:val="00142E95"/>
    <w:rsid w:val="00142FEB"/>
    <w:rsid w:val="00143A2D"/>
    <w:rsid w:val="00143D07"/>
    <w:rsid w:val="00145A41"/>
    <w:rsid w:val="00147971"/>
    <w:rsid w:val="0015007E"/>
    <w:rsid w:val="001501FE"/>
    <w:rsid w:val="00150786"/>
    <w:rsid w:val="00150A1E"/>
    <w:rsid w:val="00150ED2"/>
    <w:rsid w:val="00151675"/>
    <w:rsid w:val="001534E5"/>
    <w:rsid w:val="0015579A"/>
    <w:rsid w:val="00157435"/>
    <w:rsid w:val="00160C91"/>
    <w:rsid w:val="00163D1E"/>
    <w:rsid w:val="0016408D"/>
    <w:rsid w:val="0016599C"/>
    <w:rsid w:val="001723CC"/>
    <w:rsid w:val="00173FBC"/>
    <w:rsid w:val="00174C2A"/>
    <w:rsid w:val="0017504D"/>
    <w:rsid w:val="00175550"/>
    <w:rsid w:val="0017671A"/>
    <w:rsid w:val="00176CFC"/>
    <w:rsid w:val="00177422"/>
    <w:rsid w:val="00182351"/>
    <w:rsid w:val="00182951"/>
    <w:rsid w:val="00184590"/>
    <w:rsid w:val="00186A95"/>
    <w:rsid w:val="001870D1"/>
    <w:rsid w:val="0018781E"/>
    <w:rsid w:val="00190BB6"/>
    <w:rsid w:val="0019144D"/>
    <w:rsid w:val="00191AE1"/>
    <w:rsid w:val="0019262D"/>
    <w:rsid w:val="00195FB4"/>
    <w:rsid w:val="001A1A23"/>
    <w:rsid w:val="001A1B35"/>
    <w:rsid w:val="001A48A2"/>
    <w:rsid w:val="001A6F61"/>
    <w:rsid w:val="001A7E48"/>
    <w:rsid w:val="001B08EE"/>
    <w:rsid w:val="001B0AA9"/>
    <w:rsid w:val="001B229A"/>
    <w:rsid w:val="001B48C6"/>
    <w:rsid w:val="001B4978"/>
    <w:rsid w:val="001B5467"/>
    <w:rsid w:val="001B72B8"/>
    <w:rsid w:val="001C29D0"/>
    <w:rsid w:val="001C328E"/>
    <w:rsid w:val="001C528E"/>
    <w:rsid w:val="001C69B3"/>
    <w:rsid w:val="001D0348"/>
    <w:rsid w:val="001D18C4"/>
    <w:rsid w:val="001D2134"/>
    <w:rsid w:val="001D360F"/>
    <w:rsid w:val="001D5595"/>
    <w:rsid w:val="001D7874"/>
    <w:rsid w:val="001D7F22"/>
    <w:rsid w:val="001E05E9"/>
    <w:rsid w:val="001E520C"/>
    <w:rsid w:val="001E5FA1"/>
    <w:rsid w:val="001E71C7"/>
    <w:rsid w:val="001F0F17"/>
    <w:rsid w:val="001F1659"/>
    <w:rsid w:val="001F3347"/>
    <w:rsid w:val="001F69E4"/>
    <w:rsid w:val="00201818"/>
    <w:rsid w:val="00201F23"/>
    <w:rsid w:val="00203850"/>
    <w:rsid w:val="00204D6E"/>
    <w:rsid w:val="00204DE2"/>
    <w:rsid w:val="00206AC6"/>
    <w:rsid w:val="00207661"/>
    <w:rsid w:val="00207F76"/>
    <w:rsid w:val="00210C2F"/>
    <w:rsid w:val="002125B4"/>
    <w:rsid w:val="002155B8"/>
    <w:rsid w:val="00215A6A"/>
    <w:rsid w:val="00216CF7"/>
    <w:rsid w:val="00217B57"/>
    <w:rsid w:val="00217C71"/>
    <w:rsid w:val="002230AF"/>
    <w:rsid w:val="00224839"/>
    <w:rsid w:val="002249B2"/>
    <w:rsid w:val="00225ABE"/>
    <w:rsid w:val="00226574"/>
    <w:rsid w:val="002278EC"/>
    <w:rsid w:val="0023280E"/>
    <w:rsid w:val="00233FF0"/>
    <w:rsid w:val="00236971"/>
    <w:rsid w:val="002377D1"/>
    <w:rsid w:val="00240F48"/>
    <w:rsid w:val="00241C87"/>
    <w:rsid w:val="00243779"/>
    <w:rsid w:val="00246884"/>
    <w:rsid w:val="00246E8D"/>
    <w:rsid w:val="002506BC"/>
    <w:rsid w:val="0025285B"/>
    <w:rsid w:val="0025429B"/>
    <w:rsid w:val="00254345"/>
    <w:rsid w:val="00254BA3"/>
    <w:rsid w:val="00254D31"/>
    <w:rsid w:val="002568E2"/>
    <w:rsid w:val="002600EB"/>
    <w:rsid w:val="002607AD"/>
    <w:rsid w:val="00260D04"/>
    <w:rsid w:val="00263B21"/>
    <w:rsid w:val="00264557"/>
    <w:rsid w:val="00267D97"/>
    <w:rsid w:val="00270674"/>
    <w:rsid w:val="00275677"/>
    <w:rsid w:val="0027673F"/>
    <w:rsid w:val="002805AB"/>
    <w:rsid w:val="00280DA4"/>
    <w:rsid w:val="0028119A"/>
    <w:rsid w:val="00283094"/>
    <w:rsid w:val="00284204"/>
    <w:rsid w:val="0028640C"/>
    <w:rsid w:val="00286C2E"/>
    <w:rsid w:val="002871A6"/>
    <w:rsid w:val="002879A1"/>
    <w:rsid w:val="00291773"/>
    <w:rsid w:val="002925ED"/>
    <w:rsid w:val="00293C3C"/>
    <w:rsid w:val="002961B4"/>
    <w:rsid w:val="002964D4"/>
    <w:rsid w:val="0029752C"/>
    <w:rsid w:val="002A168C"/>
    <w:rsid w:val="002A3DC7"/>
    <w:rsid w:val="002A6B71"/>
    <w:rsid w:val="002B49E2"/>
    <w:rsid w:val="002B708D"/>
    <w:rsid w:val="002B7B00"/>
    <w:rsid w:val="002B7C44"/>
    <w:rsid w:val="002C25FD"/>
    <w:rsid w:val="002C2B17"/>
    <w:rsid w:val="002C2B78"/>
    <w:rsid w:val="002C4A84"/>
    <w:rsid w:val="002C63F0"/>
    <w:rsid w:val="002D2984"/>
    <w:rsid w:val="002D3228"/>
    <w:rsid w:val="002D3DD0"/>
    <w:rsid w:val="002D4CC2"/>
    <w:rsid w:val="002D5E77"/>
    <w:rsid w:val="002D620E"/>
    <w:rsid w:val="002E1F3A"/>
    <w:rsid w:val="002E25EC"/>
    <w:rsid w:val="002E298A"/>
    <w:rsid w:val="002E30A6"/>
    <w:rsid w:val="002E30B4"/>
    <w:rsid w:val="002E3A6D"/>
    <w:rsid w:val="002E570F"/>
    <w:rsid w:val="002E5E3F"/>
    <w:rsid w:val="002E7066"/>
    <w:rsid w:val="002E73E7"/>
    <w:rsid w:val="002E7884"/>
    <w:rsid w:val="002F0CF7"/>
    <w:rsid w:val="002F3B7C"/>
    <w:rsid w:val="002F58BD"/>
    <w:rsid w:val="002F77DC"/>
    <w:rsid w:val="0030064C"/>
    <w:rsid w:val="00301978"/>
    <w:rsid w:val="003019CE"/>
    <w:rsid w:val="00301BBF"/>
    <w:rsid w:val="0030332C"/>
    <w:rsid w:val="0030358D"/>
    <w:rsid w:val="003044A5"/>
    <w:rsid w:val="003051C2"/>
    <w:rsid w:val="003077A4"/>
    <w:rsid w:val="00310352"/>
    <w:rsid w:val="00312296"/>
    <w:rsid w:val="00314F0E"/>
    <w:rsid w:val="00315A3C"/>
    <w:rsid w:val="00316FAA"/>
    <w:rsid w:val="00317B73"/>
    <w:rsid w:val="00321D8E"/>
    <w:rsid w:val="0032467D"/>
    <w:rsid w:val="00325928"/>
    <w:rsid w:val="00331CCE"/>
    <w:rsid w:val="00332863"/>
    <w:rsid w:val="003333CF"/>
    <w:rsid w:val="00333BEE"/>
    <w:rsid w:val="0033684D"/>
    <w:rsid w:val="00337B42"/>
    <w:rsid w:val="00341877"/>
    <w:rsid w:val="00341897"/>
    <w:rsid w:val="00341B42"/>
    <w:rsid w:val="00342BD6"/>
    <w:rsid w:val="0034348F"/>
    <w:rsid w:val="00350CB6"/>
    <w:rsid w:val="003553E5"/>
    <w:rsid w:val="00356645"/>
    <w:rsid w:val="00356653"/>
    <w:rsid w:val="00356804"/>
    <w:rsid w:val="00356D40"/>
    <w:rsid w:val="0035743F"/>
    <w:rsid w:val="00357BE2"/>
    <w:rsid w:val="0036170C"/>
    <w:rsid w:val="003621B2"/>
    <w:rsid w:val="00364DCE"/>
    <w:rsid w:val="00365270"/>
    <w:rsid w:val="00366E0F"/>
    <w:rsid w:val="003711F8"/>
    <w:rsid w:val="00376B29"/>
    <w:rsid w:val="003773FB"/>
    <w:rsid w:val="00380B0F"/>
    <w:rsid w:val="003812C2"/>
    <w:rsid w:val="00381A72"/>
    <w:rsid w:val="003836E9"/>
    <w:rsid w:val="00384676"/>
    <w:rsid w:val="00386A8E"/>
    <w:rsid w:val="00390857"/>
    <w:rsid w:val="0039211E"/>
    <w:rsid w:val="0039255D"/>
    <w:rsid w:val="0039733E"/>
    <w:rsid w:val="00397E65"/>
    <w:rsid w:val="003A1BD7"/>
    <w:rsid w:val="003A1E3A"/>
    <w:rsid w:val="003A27E9"/>
    <w:rsid w:val="003A4BF3"/>
    <w:rsid w:val="003A54DA"/>
    <w:rsid w:val="003A6D12"/>
    <w:rsid w:val="003B0C36"/>
    <w:rsid w:val="003B10B1"/>
    <w:rsid w:val="003B1F0C"/>
    <w:rsid w:val="003B420D"/>
    <w:rsid w:val="003B5724"/>
    <w:rsid w:val="003B6705"/>
    <w:rsid w:val="003B7C57"/>
    <w:rsid w:val="003B7DFA"/>
    <w:rsid w:val="003C6C16"/>
    <w:rsid w:val="003C75A9"/>
    <w:rsid w:val="003D0201"/>
    <w:rsid w:val="003D31AF"/>
    <w:rsid w:val="003D33AB"/>
    <w:rsid w:val="003D45DC"/>
    <w:rsid w:val="003D794D"/>
    <w:rsid w:val="003E03FE"/>
    <w:rsid w:val="003E28C2"/>
    <w:rsid w:val="003E3058"/>
    <w:rsid w:val="003E42F5"/>
    <w:rsid w:val="003E5A1F"/>
    <w:rsid w:val="003E67DB"/>
    <w:rsid w:val="003E76A9"/>
    <w:rsid w:val="003F07C7"/>
    <w:rsid w:val="003F0809"/>
    <w:rsid w:val="003F0CB8"/>
    <w:rsid w:val="003F3051"/>
    <w:rsid w:val="003F57E0"/>
    <w:rsid w:val="003F6A8C"/>
    <w:rsid w:val="003F755C"/>
    <w:rsid w:val="00401705"/>
    <w:rsid w:val="00401BA7"/>
    <w:rsid w:val="004023C5"/>
    <w:rsid w:val="004025CD"/>
    <w:rsid w:val="00403D3C"/>
    <w:rsid w:val="0040537D"/>
    <w:rsid w:val="00406F01"/>
    <w:rsid w:val="00407283"/>
    <w:rsid w:val="00407C66"/>
    <w:rsid w:val="00416D50"/>
    <w:rsid w:val="00416FA1"/>
    <w:rsid w:val="00416FD5"/>
    <w:rsid w:val="00417772"/>
    <w:rsid w:val="00420E6A"/>
    <w:rsid w:val="00423E3F"/>
    <w:rsid w:val="00425A9E"/>
    <w:rsid w:val="00426D6B"/>
    <w:rsid w:val="00427AB1"/>
    <w:rsid w:val="00430C5A"/>
    <w:rsid w:val="00431E6C"/>
    <w:rsid w:val="00432679"/>
    <w:rsid w:val="0043374F"/>
    <w:rsid w:val="00433CE7"/>
    <w:rsid w:val="0043406D"/>
    <w:rsid w:val="00437DE4"/>
    <w:rsid w:val="004408EF"/>
    <w:rsid w:val="004415CF"/>
    <w:rsid w:val="00443020"/>
    <w:rsid w:val="0044361F"/>
    <w:rsid w:val="00447A87"/>
    <w:rsid w:val="0045038F"/>
    <w:rsid w:val="00450494"/>
    <w:rsid w:val="00450DA4"/>
    <w:rsid w:val="00452738"/>
    <w:rsid w:val="00456091"/>
    <w:rsid w:val="0045769E"/>
    <w:rsid w:val="004609AE"/>
    <w:rsid w:val="00466321"/>
    <w:rsid w:val="004664BA"/>
    <w:rsid w:val="00466AF7"/>
    <w:rsid w:val="00470B6B"/>
    <w:rsid w:val="0047164C"/>
    <w:rsid w:val="00476079"/>
    <w:rsid w:val="00477177"/>
    <w:rsid w:val="00480C49"/>
    <w:rsid w:val="004821D8"/>
    <w:rsid w:val="00482B98"/>
    <w:rsid w:val="004837A0"/>
    <w:rsid w:val="00484B9B"/>
    <w:rsid w:val="004855F6"/>
    <w:rsid w:val="0048661E"/>
    <w:rsid w:val="00486B49"/>
    <w:rsid w:val="00491EBA"/>
    <w:rsid w:val="004944B4"/>
    <w:rsid w:val="00494670"/>
    <w:rsid w:val="004963F2"/>
    <w:rsid w:val="004A02B1"/>
    <w:rsid w:val="004A0445"/>
    <w:rsid w:val="004A0F49"/>
    <w:rsid w:val="004A1175"/>
    <w:rsid w:val="004A2630"/>
    <w:rsid w:val="004A3823"/>
    <w:rsid w:val="004A6858"/>
    <w:rsid w:val="004A72C5"/>
    <w:rsid w:val="004A7EC2"/>
    <w:rsid w:val="004B11B8"/>
    <w:rsid w:val="004B3493"/>
    <w:rsid w:val="004C4C1E"/>
    <w:rsid w:val="004C5979"/>
    <w:rsid w:val="004C60C8"/>
    <w:rsid w:val="004C755B"/>
    <w:rsid w:val="004C7C48"/>
    <w:rsid w:val="004D16DB"/>
    <w:rsid w:val="004D3676"/>
    <w:rsid w:val="004D5508"/>
    <w:rsid w:val="004D5671"/>
    <w:rsid w:val="004E12B2"/>
    <w:rsid w:val="004E16F0"/>
    <w:rsid w:val="004E2440"/>
    <w:rsid w:val="004E24ED"/>
    <w:rsid w:val="004E2F3C"/>
    <w:rsid w:val="004E58C2"/>
    <w:rsid w:val="004E6946"/>
    <w:rsid w:val="004E6F9A"/>
    <w:rsid w:val="004E7175"/>
    <w:rsid w:val="004E77A5"/>
    <w:rsid w:val="004E78B6"/>
    <w:rsid w:val="004F1AD8"/>
    <w:rsid w:val="004F1D2D"/>
    <w:rsid w:val="004F3715"/>
    <w:rsid w:val="00500458"/>
    <w:rsid w:val="005039CB"/>
    <w:rsid w:val="0050558F"/>
    <w:rsid w:val="0050600D"/>
    <w:rsid w:val="00506286"/>
    <w:rsid w:val="0050692C"/>
    <w:rsid w:val="00506EEA"/>
    <w:rsid w:val="00510813"/>
    <w:rsid w:val="005112F3"/>
    <w:rsid w:val="00511990"/>
    <w:rsid w:val="00511DE0"/>
    <w:rsid w:val="00514870"/>
    <w:rsid w:val="00514B9B"/>
    <w:rsid w:val="00517F02"/>
    <w:rsid w:val="00522608"/>
    <w:rsid w:val="00522E6B"/>
    <w:rsid w:val="00523A71"/>
    <w:rsid w:val="00524303"/>
    <w:rsid w:val="00525687"/>
    <w:rsid w:val="0052571F"/>
    <w:rsid w:val="005258A2"/>
    <w:rsid w:val="00526585"/>
    <w:rsid w:val="005272A1"/>
    <w:rsid w:val="00530FD7"/>
    <w:rsid w:val="0053383B"/>
    <w:rsid w:val="005401AE"/>
    <w:rsid w:val="00542E07"/>
    <w:rsid w:val="00543D1A"/>
    <w:rsid w:val="00545424"/>
    <w:rsid w:val="005518E6"/>
    <w:rsid w:val="00551962"/>
    <w:rsid w:val="00551BBE"/>
    <w:rsid w:val="0055281E"/>
    <w:rsid w:val="00554A7B"/>
    <w:rsid w:val="0055572C"/>
    <w:rsid w:val="005576B8"/>
    <w:rsid w:val="0056106A"/>
    <w:rsid w:val="005668EE"/>
    <w:rsid w:val="0056732A"/>
    <w:rsid w:val="005720AE"/>
    <w:rsid w:val="00572BF3"/>
    <w:rsid w:val="00572FB6"/>
    <w:rsid w:val="0057366C"/>
    <w:rsid w:val="00574E84"/>
    <w:rsid w:val="0057533A"/>
    <w:rsid w:val="00576E10"/>
    <w:rsid w:val="00577670"/>
    <w:rsid w:val="00577B17"/>
    <w:rsid w:val="00583894"/>
    <w:rsid w:val="00586ADA"/>
    <w:rsid w:val="00591E93"/>
    <w:rsid w:val="00594D77"/>
    <w:rsid w:val="005957A0"/>
    <w:rsid w:val="005969E4"/>
    <w:rsid w:val="0059771C"/>
    <w:rsid w:val="005A055C"/>
    <w:rsid w:val="005A06B7"/>
    <w:rsid w:val="005A0E20"/>
    <w:rsid w:val="005A1759"/>
    <w:rsid w:val="005A1F08"/>
    <w:rsid w:val="005A3FA6"/>
    <w:rsid w:val="005A68A7"/>
    <w:rsid w:val="005A7F62"/>
    <w:rsid w:val="005B11CF"/>
    <w:rsid w:val="005B1FF0"/>
    <w:rsid w:val="005B583F"/>
    <w:rsid w:val="005B6087"/>
    <w:rsid w:val="005B63FD"/>
    <w:rsid w:val="005C081C"/>
    <w:rsid w:val="005C40B1"/>
    <w:rsid w:val="005C4111"/>
    <w:rsid w:val="005C471A"/>
    <w:rsid w:val="005C6FC9"/>
    <w:rsid w:val="005C76AF"/>
    <w:rsid w:val="005D30B1"/>
    <w:rsid w:val="005D36AB"/>
    <w:rsid w:val="005D7C25"/>
    <w:rsid w:val="005E3E72"/>
    <w:rsid w:val="005E4562"/>
    <w:rsid w:val="005E6B01"/>
    <w:rsid w:val="005F0033"/>
    <w:rsid w:val="005F080D"/>
    <w:rsid w:val="005F4C68"/>
    <w:rsid w:val="005F72F8"/>
    <w:rsid w:val="00603780"/>
    <w:rsid w:val="006038D7"/>
    <w:rsid w:val="00603AED"/>
    <w:rsid w:val="0060541C"/>
    <w:rsid w:val="00610222"/>
    <w:rsid w:val="006128E1"/>
    <w:rsid w:val="00617CC3"/>
    <w:rsid w:val="00620FD3"/>
    <w:rsid w:val="00621DBB"/>
    <w:rsid w:val="00624A1A"/>
    <w:rsid w:val="0062631E"/>
    <w:rsid w:val="00631547"/>
    <w:rsid w:val="00631BE9"/>
    <w:rsid w:val="00631F0A"/>
    <w:rsid w:val="00632441"/>
    <w:rsid w:val="006331ED"/>
    <w:rsid w:val="006367BC"/>
    <w:rsid w:val="006377A6"/>
    <w:rsid w:val="00637A3D"/>
    <w:rsid w:val="006411EF"/>
    <w:rsid w:val="0064150E"/>
    <w:rsid w:val="00642DD0"/>
    <w:rsid w:val="0064360D"/>
    <w:rsid w:val="006440FA"/>
    <w:rsid w:val="00644C6C"/>
    <w:rsid w:val="00645068"/>
    <w:rsid w:val="006450D7"/>
    <w:rsid w:val="00645A27"/>
    <w:rsid w:val="00647F08"/>
    <w:rsid w:val="00650FA7"/>
    <w:rsid w:val="00651DCE"/>
    <w:rsid w:val="00654C36"/>
    <w:rsid w:val="006555FE"/>
    <w:rsid w:val="00662B96"/>
    <w:rsid w:val="006646AE"/>
    <w:rsid w:val="0067001D"/>
    <w:rsid w:val="0067254B"/>
    <w:rsid w:val="006748B8"/>
    <w:rsid w:val="00675572"/>
    <w:rsid w:val="006769A4"/>
    <w:rsid w:val="006775C3"/>
    <w:rsid w:val="00681950"/>
    <w:rsid w:val="00682005"/>
    <w:rsid w:val="0068395B"/>
    <w:rsid w:val="00685C88"/>
    <w:rsid w:val="00685F18"/>
    <w:rsid w:val="00687A15"/>
    <w:rsid w:val="0069290A"/>
    <w:rsid w:val="0069775A"/>
    <w:rsid w:val="00697813"/>
    <w:rsid w:val="006A2390"/>
    <w:rsid w:val="006A280D"/>
    <w:rsid w:val="006A2FFE"/>
    <w:rsid w:val="006A3E36"/>
    <w:rsid w:val="006A3EE8"/>
    <w:rsid w:val="006A4A65"/>
    <w:rsid w:val="006A72BF"/>
    <w:rsid w:val="006A79C8"/>
    <w:rsid w:val="006B0028"/>
    <w:rsid w:val="006B03F2"/>
    <w:rsid w:val="006B37DC"/>
    <w:rsid w:val="006B4F68"/>
    <w:rsid w:val="006B551A"/>
    <w:rsid w:val="006C0592"/>
    <w:rsid w:val="006C0B4F"/>
    <w:rsid w:val="006C272E"/>
    <w:rsid w:val="006C5479"/>
    <w:rsid w:val="006C57BB"/>
    <w:rsid w:val="006C643B"/>
    <w:rsid w:val="006D13B5"/>
    <w:rsid w:val="006E0247"/>
    <w:rsid w:val="006E12FF"/>
    <w:rsid w:val="006E1D9B"/>
    <w:rsid w:val="006E3246"/>
    <w:rsid w:val="006E607E"/>
    <w:rsid w:val="006E6FCA"/>
    <w:rsid w:val="006F37BA"/>
    <w:rsid w:val="006F433B"/>
    <w:rsid w:val="006F44DC"/>
    <w:rsid w:val="006F573B"/>
    <w:rsid w:val="006F6C05"/>
    <w:rsid w:val="006F777A"/>
    <w:rsid w:val="006F79E8"/>
    <w:rsid w:val="00700574"/>
    <w:rsid w:val="007016CE"/>
    <w:rsid w:val="0070267F"/>
    <w:rsid w:val="00703ED9"/>
    <w:rsid w:val="00706C5D"/>
    <w:rsid w:val="0071069F"/>
    <w:rsid w:val="0071448F"/>
    <w:rsid w:val="00720420"/>
    <w:rsid w:val="00732696"/>
    <w:rsid w:val="00732922"/>
    <w:rsid w:val="00737455"/>
    <w:rsid w:val="007403D5"/>
    <w:rsid w:val="007461B8"/>
    <w:rsid w:val="00747864"/>
    <w:rsid w:val="00750E92"/>
    <w:rsid w:val="0075162E"/>
    <w:rsid w:val="00752F56"/>
    <w:rsid w:val="00753845"/>
    <w:rsid w:val="00753B09"/>
    <w:rsid w:val="00754034"/>
    <w:rsid w:val="00756556"/>
    <w:rsid w:val="00756FF1"/>
    <w:rsid w:val="007618C4"/>
    <w:rsid w:val="007623C7"/>
    <w:rsid w:val="007635E6"/>
    <w:rsid w:val="007644D3"/>
    <w:rsid w:val="00765E74"/>
    <w:rsid w:val="00767980"/>
    <w:rsid w:val="007709E0"/>
    <w:rsid w:val="00770B19"/>
    <w:rsid w:val="0077463F"/>
    <w:rsid w:val="00775133"/>
    <w:rsid w:val="00776283"/>
    <w:rsid w:val="00776F30"/>
    <w:rsid w:val="00781614"/>
    <w:rsid w:val="007836EA"/>
    <w:rsid w:val="00784CDA"/>
    <w:rsid w:val="00786B8C"/>
    <w:rsid w:val="007878E4"/>
    <w:rsid w:val="007906C4"/>
    <w:rsid w:val="00793B39"/>
    <w:rsid w:val="007940EA"/>
    <w:rsid w:val="00794D33"/>
    <w:rsid w:val="00796500"/>
    <w:rsid w:val="007967E8"/>
    <w:rsid w:val="00797A02"/>
    <w:rsid w:val="007A0443"/>
    <w:rsid w:val="007A2170"/>
    <w:rsid w:val="007A22BF"/>
    <w:rsid w:val="007A3323"/>
    <w:rsid w:val="007A3F76"/>
    <w:rsid w:val="007A57AF"/>
    <w:rsid w:val="007A6378"/>
    <w:rsid w:val="007B08B0"/>
    <w:rsid w:val="007B0CEF"/>
    <w:rsid w:val="007B52A6"/>
    <w:rsid w:val="007B72B8"/>
    <w:rsid w:val="007B7987"/>
    <w:rsid w:val="007B7A58"/>
    <w:rsid w:val="007C21B5"/>
    <w:rsid w:val="007C3093"/>
    <w:rsid w:val="007C3B43"/>
    <w:rsid w:val="007D17B4"/>
    <w:rsid w:val="007D64F9"/>
    <w:rsid w:val="007E09B5"/>
    <w:rsid w:val="007E1CB4"/>
    <w:rsid w:val="007E25FF"/>
    <w:rsid w:val="007E4413"/>
    <w:rsid w:val="007E4BD2"/>
    <w:rsid w:val="007E5D48"/>
    <w:rsid w:val="007E700B"/>
    <w:rsid w:val="007E7D1D"/>
    <w:rsid w:val="007E7DD5"/>
    <w:rsid w:val="007F4284"/>
    <w:rsid w:val="007F4A2F"/>
    <w:rsid w:val="00800188"/>
    <w:rsid w:val="0080037C"/>
    <w:rsid w:val="00800C37"/>
    <w:rsid w:val="00801393"/>
    <w:rsid w:val="00802DF6"/>
    <w:rsid w:val="00802F88"/>
    <w:rsid w:val="00806663"/>
    <w:rsid w:val="008069AC"/>
    <w:rsid w:val="008103CA"/>
    <w:rsid w:val="00810A1E"/>
    <w:rsid w:val="0081293E"/>
    <w:rsid w:val="00812E80"/>
    <w:rsid w:val="00812FBE"/>
    <w:rsid w:val="00814E42"/>
    <w:rsid w:val="00815465"/>
    <w:rsid w:val="00816C40"/>
    <w:rsid w:val="00817515"/>
    <w:rsid w:val="00817BC5"/>
    <w:rsid w:val="00817E9A"/>
    <w:rsid w:val="008201A3"/>
    <w:rsid w:val="008306BD"/>
    <w:rsid w:val="00831A80"/>
    <w:rsid w:val="00833743"/>
    <w:rsid w:val="008340A4"/>
    <w:rsid w:val="00841182"/>
    <w:rsid w:val="00842C6F"/>
    <w:rsid w:val="00843469"/>
    <w:rsid w:val="00843A03"/>
    <w:rsid w:val="00846834"/>
    <w:rsid w:val="008549FF"/>
    <w:rsid w:val="00856C9B"/>
    <w:rsid w:val="008575B8"/>
    <w:rsid w:val="00863765"/>
    <w:rsid w:val="00863EDD"/>
    <w:rsid w:val="00864B67"/>
    <w:rsid w:val="0087135F"/>
    <w:rsid w:val="00872BBE"/>
    <w:rsid w:val="00872D94"/>
    <w:rsid w:val="00872ECA"/>
    <w:rsid w:val="00872EED"/>
    <w:rsid w:val="00873D3C"/>
    <w:rsid w:val="00880364"/>
    <w:rsid w:val="00884E80"/>
    <w:rsid w:val="00884FC8"/>
    <w:rsid w:val="008852DE"/>
    <w:rsid w:val="00886BB0"/>
    <w:rsid w:val="00891592"/>
    <w:rsid w:val="00891E9E"/>
    <w:rsid w:val="008926B3"/>
    <w:rsid w:val="00892BB9"/>
    <w:rsid w:val="00896E41"/>
    <w:rsid w:val="00897A22"/>
    <w:rsid w:val="00897F6F"/>
    <w:rsid w:val="008A1BA1"/>
    <w:rsid w:val="008A27FF"/>
    <w:rsid w:val="008A2F68"/>
    <w:rsid w:val="008A5484"/>
    <w:rsid w:val="008A61C4"/>
    <w:rsid w:val="008B36CA"/>
    <w:rsid w:val="008B44B2"/>
    <w:rsid w:val="008B4FA6"/>
    <w:rsid w:val="008B5282"/>
    <w:rsid w:val="008B5B01"/>
    <w:rsid w:val="008B5ED5"/>
    <w:rsid w:val="008B7898"/>
    <w:rsid w:val="008B7C17"/>
    <w:rsid w:val="008C2D01"/>
    <w:rsid w:val="008C3983"/>
    <w:rsid w:val="008C40E6"/>
    <w:rsid w:val="008D0F7A"/>
    <w:rsid w:val="008D1DF0"/>
    <w:rsid w:val="008D208C"/>
    <w:rsid w:val="008D3456"/>
    <w:rsid w:val="008D68E4"/>
    <w:rsid w:val="008E0506"/>
    <w:rsid w:val="008E06AB"/>
    <w:rsid w:val="008E0CFF"/>
    <w:rsid w:val="008E2330"/>
    <w:rsid w:val="008E2E8A"/>
    <w:rsid w:val="008E444F"/>
    <w:rsid w:val="008E5D6B"/>
    <w:rsid w:val="008E5DC3"/>
    <w:rsid w:val="008E63A5"/>
    <w:rsid w:val="008E76F0"/>
    <w:rsid w:val="008F15FE"/>
    <w:rsid w:val="008F283D"/>
    <w:rsid w:val="008F2D29"/>
    <w:rsid w:val="008F373D"/>
    <w:rsid w:val="008F3C8B"/>
    <w:rsid w:val="008F5187"/>
    <w:rsid w:val="008F60D8"/>
    <w:rsid w:val="008F77EA"/>
    <w:rsid w:val="00901EE8"/>
    <w:rsid w:val="0090237E"/>
    <w:rsid w:val="00902727"/>
    <w:rsid w:val="0090312B"/>
    <w:rsid w:val="009045B4"/>
    <w:rsid w:val="009073BF"/>
    <w:rsid w:val="009074FE"/>
    <w:rsid w:val="00913942"/>
    <w:rsid w:val="00914863"/>
    <w:rsid w:val="0091587C"/>
    <w:rsid w:val="0091736D"/>
    <w:rsid w:val="00917B9F"/>
    <w:rsid w:val="00923AAD"/>
    <w:rsid w:val="00923F0D"/>
    <w:rsid w:val="00925572"/>
    <w:rsid w:val="00927FA8"/>
    <w:rsid w:val="0093037A"/>
    <w:rsid w:val="009314C9"/>
    <w:rsid w:val="00931BCE"/>
    <w:rsid w:val="00933BAB"/>
    <w:rsid w:val="00934B82"/>
    <w:rsid w:val="00935150"/>
    <w:rsid w:val="00936904"/>
    <w:rsid w:val="00940513"/>
    <w:rsid w:val="0094154D"/>
    <w:rsid w:val="00942100"/>
    <w:rsid w:val="009421C7"/>
    <w:rsid w:val="0094222E"/>
    <w:rsid w:val="00944A33"/>
    <w:rsid w:val="00945433"/>
    <w:rsid w:val="0095155F"/>
    <w:rsid w:val="00951C6A"/>
    <w:rsid w:val="00952307"/>
    <w:rsid w:val="00952E6E"/>
    <w:rsid w:val="00952F71"/>
    <w:rsid w:val="00954429"/>
    <w:rsid w:val="009563CE"/>
    <w:rsid w:val="00956EE5"/>
    <w:rsid w:val="00973341"/>
    <w:rsid w:val="00976328"/>
    <w:rsid w:val="0097680D"/>
    <w:rsid w:val="00980343"/>
    <w:rsid w:val="00982438"/>
    <w:rsid w:val="0098404C"/>
    <w:rsid w:val="00985283"/>
    <w:rsid w:val="00985B60"/>
    <w:rsid w:val="00986D54"/>
    <w:rsid w:val="009916CA"/>
    <w:rsid w:val="00993193"/>
    <w:rsid w:val="009941D9"/>
    <w:rsid w:val="00994CEB"/>
    <w:rsid w:val="00995992"/>
    <w:rsid w:val="009A03E5"/>
    <w:rsid w:val="009A0F3B"/>
    <w:rsid w:val="009A1BB4"/>
    <w:rsid w:val="009A21C2"/>
    <w:rsid w:val="009A2628"/>
    <w:rsid w:val="009A2A51"/>
    <w:rsid w:val="009A3200"/>
    <w:rsid w:val="009A4467"/>
    <w:rsid w:val="009A6392"/>
    <w:rsid w:val="009B0897"/>
    <w:rsid w:val="009B16B1"/>
    <w:rsid w:val="009B1CD1"/>
    <w:rsid w:val="009B355A"/>
    <w:rsid w:val="009B4C90"/>
    <w:rsid w:val="009B5FDC"/>
    <w:rsid w:val="009B65E7"/>
    <w:rsid w:val="009B7883"/>
    <w:rsid w:val="009B7BD9"/>
    <w:rsid w:val="009C02B4"/>
    <w:rsid w:val="009C05F2"/>
    <w:rsid w:val="009C63BA"/>
    <w:rsid w:val="009C64E7"/>
    <w:rsid w:val="009C7DD5"/>
    <w:rsid w:val="009D02C3"/>
    <w:rsid w:val="009D07A8"/>
    <w:rsid w:val="009D2CBA"/>
    <w:rsid w:val="009E054B"/>
    <w:rsid w:val="009E14D4"/>
    <w:rsid w:val="009E1A94"/>
    <w:rsid w:val="009E227D"/>
    <w:rsid w:val="009E314D"/>
    <w:rsid w:val="009E3387"/>
    <w:rsid w:val="009E497C"/>
    <w:rsid w:val="009E5019"/>
    <w:rsid w:val="009E5BA7"/>
    <w:rsid w:val="009E74AE"/>
    <w:rsid w:val="009F2E22"/>
    <w:rsid w:val="00A00516"/>
    <w:rsid w:val="00A04525"/>
    <w:rsid w:val="00A04F1B"/>
    <w:rsid w:val="00A0501B"/>
    <w:rsid w:val="00A059E5"/>
    <w:rsid w:val="00A10073"/>
    <w:rsid w:val="00A1162A"/>
    <w:rsid w:val="00A12874"/>
    <w:rsid w:val="00A134F3"/>
    <w:rsid w:val="00A13793"/>
    <w:rsid w:val="00A13E2A"/>
    <w:rsid w:val="00A14947"/>
    <w:rsid w:val="00A16B6F"/>
    <w:rsid w:val="00A16F49"/>
    <w:rsid w:val="00A32A83"/>
    <w:rsid w:val="00A34A2F"/>
    <w:rsid w:val="00A36503"/>
    <w:rsid w:val="00A368DB"/>
    <w:rsid w:val="00A423AA"/>
    <w:rsid w:val="00A4284B"/>
    <w:rsid w:val="00A45BCF"/>
    <w:rsid w:val="00A46BCB"/>
    <w:rsid w:val="00A53EC6"/>
    <w:rsid w:val="00A5565A"/>
    <w:rsid w:val="00A556CB"/>
    <w:rsid w:val="00A55C0F"/>
    <w:rsid w:val="00A56E43"/>
    <w:rsid w:val="00A5713A"/>
    <w:rsid w:val="00A57175"/>
    <w:rsid w:val="00A57679"/>
    <w:rsid w:val="00A61703"/>
    <w:rsid w:val="00A61969"/>
    <w:rsid w:val="00A624AA"/>
    <w:rsid w:val="00A66151"/>
    <w:rsid w:val="00A66773"/>
    <w:rsid w:val="00A704DB"/>
    <w:rsid w:val="00A7339D"/>
    <w:rsid w:val="00A73408"/>
    <w:rsid w:val="00A737D0"/>
    <w:rsid w:val="00A74836"/>
    <w:rsid w:val="00A75E5C"/>
    <w:rsid w:val="00A770A2"/>
    <w:rsid w:val="00A8008A"/>
    <w:rsid w:val="00A81369"/>
    <w:rsid w:val="00A8155F"/>
    <w:rsid w:val="00A826EC"/>
    <w:rsid w:val="00A84C3C"/>
    <w:rsid w:val="00A8713F"/>
    <w:rsid w:val="00A9047B"/>
    <w:rsid w:val="00A90BA1"/>
    <w:rsid w:val="00A921B8"/>
    <w:rsid w:val="00A93BC5"/>
    <w:rsid w:val="00A97A9A"/>
    <w:rsid w:val="00AA0117"/>
    <w:rsid w:val="00AA0671"/>
    <w:rsid w:val="00AA0A30"/>
    <w:rsid w:val="00AA2531"/>
    <w:rsid w:val="00AA44A8"/>
    <w:rsid w:val="00AA54E5"/>
    <w:rsid w:val="00AA5C6B"/>
    <w:rsid w:val="00AA621B"/>
    <w:rsid w:val="00AA7BAB"/>
    <w:rsid w:val="00AB0B31"/>
    <w:rsid w:val="00AB1E09"/>
    <w:rsid w:val="00AB5330"/>
    <w:rsid w:val="00AB53F5"/>
    <w:rsid w:val="00AB7747"/>
    <w:rsid w:val="00AC126C"/>
    <w:rsid w:val="00AC14CE"/>
    <w:rsid w:val="00AC2A56"/>
    <w:rsid w:val="00AC3DF6"/>
    <w:rsid w:val="00AC4351"/>
    <w:rsid w:val="00AC453C"/>
    <w:rsid w:val="00AC4F35"/>
    <w:rsid w:val="00AC57B2"/>
    <w:rsid w:val="00AC7135"/>
    <w:rsid w:val="00AC76A8"/>
    <w:rsid w:val="00AD055E"/>
    <w:rsid w:val="00AD2947"/>
    <w:rsid w:val="00AD3CE2"/>
    <w:rsid w:val="00AD47A7"/>
    <w:rsid w:val="00AD551E"/>
    <w:rsid w:val="00AE1F10"/>
    <w:rsid w:val="00AF00B0"/>
    <w:rsid w:val="00AF0CBF"/>
    <w:rsid w:val="00AF257F"/>
    <w:rsid w:val="00AF2D37"/>
    <w:rsid w:val="00AF33CF"/>
    <w:rsid w:val="00AF40FC"/>
    <w:rsid w:val="00AF4214"/>
    <w:rsid w:val="00AF4C20"/>
    <w:rsid w:val="00AF4D50"/>
    <w:rsid w:val="00AF6179"/>
    <w:rsid w:val="00AF7284"/>
    <w:rsid w:val="00AF796F"/>
    <w:rsid w:val="00B0446B"/>
    <w:rsid w:val="00B066DE"/>
    <w:rsid w:val="00B06CFD"/>
    <w:rsid w:val="00B06E2C"/>
    <w:rsid w:val="00B11F66"/>
    <w:rsid w:val="00B124DB"/>
    <w:rsid w:val="00B1292E"/>
    <w:rsid w:val="00B1295A"/>
    <w:rsid w:val="00B138B8"/>
    <w:rsid w:val="00B15693"/>
    <w:rsid w:val="00B15DDB"/>
    <w:rsid w:val="00B20A45"/>
    <w:rsid w:val="00B22C5C"/>
    <w:rsid w:val="00B238B5"/>
    <w:rsid w:val="00B243CE"/>
    <w:rsid w:val="00B24866"/>
    <w:rsid w:val="00B24F30"/>
    <w:rsid w:val="00B31ABF"/>
    <w:rsid w:val="00B3265B"/>
    <w:rsid w:val="00B33BB8"/>
    <w:rsid w:val="00B33BE3"/>
    <w:rsid w:val="00B3581F"/>
    <w:rsid w:val="00B361CA"/>
    <w:rsid w:val="00B3627F"/>
    <w:rsid w:val="00B37B1A"/>
    <w:rsid w:val="00B37DD4"/>
    <w:rsid w:val="00B404A7"/>
    <w:rsid w:val="00B447A1"/>
    <w:rsid w:val="00B457C3"/>
    <w:rsid w:val="00B5275F"/>
    <w:rsid w:val="00B534E5"/>
    <w:rsid w:val="00B5395D"/>
    <w:rsid w:val="00B53B5D"/>
    <w:rsid w:val="00B6055E"/>
    <w:rsid w:val="00B62F5F"/>
    <w:rsid w:val="00B6317D"/>
    <w:rsid w:val="00B654E0"/>
    <w:rsid w:val="00B65574"/>
    <w:rsid w:val="00B67487"/>
    <w:rsid w:val="00B71B4B"/>
    <w:rsid w:val="00B771F7"/>
    <w:rsid w:val="00B7723F"/>
    <w:rsid w:val="00B80534"/>
    <w:rsid w:val="00B8433C"/>
    <w:rsid w:val="00B8605B"/>
    <w:rsid w:val="00B87491"/>
    <w:rsid w:val="00B8775D"/>
    <w:rsid w:val="00B917DB"/>
    <w:rsid w:val="00B926E2"/>
    <w:rsid w:val="00B95A79"/>
    <w:rsid w:val="00BA1A87"/>
    <w:rsid w:val="00BA2069"/>
    <w:rsid w:val="00BA29E9"/>
    <w:rsid w:val="00BA401E"/>
    <w:rsid w:val="00BA6279"/>
    <w:rsid w:val="00BA6CD1"/>
    <w:rsid w:val="00BA7142"/>
    <w:rsid w:val="00BB0077"/>
    <w:rsid w:val="00BB237C"/>
    <w:rsid w:val="00BB3CE6"/>
    <w:rsid w:val="00BB41A3"/>
    <w:rsid w:val="00BB5F10"/>
    <w:rsid w:val="00BB6ED6"/>
    <w:rsid w:val="00BB7004"/>
    <w:rsid w:val="00BC058B"/>
    <w:rsid w:val="00BC32DC"/>
    <w:rsid w:val="00BC35B6"/>
    <w:rsid w:val="00BC36DA"/>
    <w:rsid w:val="00BC4C56"/>
    <w:rsid w:val="00BC5E27"/>
    <w:rsid w:val="00BC5FD6"/>
    <w:rsid w:val="00BD1B51"/>
    <w:rsid w:val="00BD4596"/>
    <w:rsid w:val="00BD480F"/>
    <w:rsid w:val="00BD4946"/>
    <w:rsid w:val="00BD4EA0"/>
    <w:rsid w:val="00BD6601"/>
    <w:rsid w:val="00BD763E"/>
    <w:rsid w:val="00BE07B4"/>
    <w:rsid w:val="00BE10C6"/>
    <w:rsid w:val="00BE1405"/>
    <w:rsid w:val="00BE1825"/>
    <w:rsid w:val="00BE312D"/>
    <w:rsid w:val="00BE56D5"/>
    <w:rsid w:val="00BF0F3C"/>
    <w:rsid w:val="00BF1C20"/>
    <w:rsid w:val="00BF4534"/>
    <w:rsid w:val="00BF497F"/>
    <w:rsid w:val="00BF4A85"/>
    <w:rsid w:val="00BF601A"/>
    <w:rsid w:val="00C01EAE"/>
    <w:rsid w:val="00C0511E"/>
    <w:rsid w:val="00C0586E"/>
    <w:rsid w:val="00C05EFF"/>
    <w:rsid w:val="00C0742F"/>
    <w:rsid w:val="00C10578"/>
    <w:rsid w:val="00C12FB7"/>
    <w:rsid w:val="00C135BC"/>
    <w:rsid w:val="00C146D5"/>
    <w:rsid w:val="00C15C95"/>
    <w:rsid w:val="00C16807"/>
    <w:rsid w:val="00C217DE"/>
    <w:rsid w:val="00C21B13"/>
    <w:rsid w:val="00C22235"/>
    <w:rsid w:val="00C22BED"/>
    <w:rsid w:val="00C24229"/>
    <w:rsid w:val="00C24FC3"/>
    <w:rsid w:val="00C2596A"/>
    <w:rsid w:val="00C27537"/>
    <w:rsid w:val="00C30B88"/>
    <w:rsid w:val="00C31DD1"/>
    <w:rsid w:val="00C327F0"/>
    <w:rsid w:val="00C328FE"/>
    <w:rsid w:val="00C33507"/>
    <w:rsid w:val="00C4015C"/>
    <w:rsid w:val="00C428FD"/>
    <w:rsid w:val="00C4409D"/>
    <w:rsid w:val="00C4417C"/>
    <w:rsid w:val="00C44BF8"/>
    <w:rsid w:val="00C44E72"/>
    <w:rsid w:val="00C45A06"/>
    <w:rsid w:val="00C47E5B"/>
    <w:rsid w:val="00C504F8"/>
    <w:rsid w:val="00C50C86"/>
    <w:rsid w:val="00C51974"/>
    <w:rsid w:val="00C51FC1"/>
    <w:rsid w:val="00C54833"/>
    <w:rsid w:val="00C5778E"/>
    <w:rsid w:val="00C61E4B"/>
    <w:rsid w:val="00C643AC"/>
    <w:rsid w:val="00C64BFF"/>
    <w:rsid w:val="00C704E9"/>
    <w:rsid w:val="00C73838"/>
    <w:rsid w:val="00C763C9"/>
    <w:rsid w:val="00C772B3"/>
    <w:rsid w:val="00C775D7"/>
    <w:rsid w:val="00C775EA"/>
    <w:rsid w:val="00C80057"/>
    <w:rsid w:val="00C800EA"/>
    <w:rsid w:val="00C82232"/>
    <w:rsid w:val="00C82913"/>
    <w:rsid w:val="00C8293F"/>
    <w:rsid w:val="00C84735"/>
    <w:rsid w:val="00C85BA0"/>
    <w:rsid w:val="00C85E38"/>
    <w:rsid w:val="00C87FE9"/>
    <w:rsid w:val="00C90583"/>
    <w:rsid w:val="00C9332F"/>
    <w:rsid w:val="00C96467"/>
    <w:rsid w:val="00C972B1"/>
    <w:rsid w:val="00CA2CCE"/>
    <w:rsid w:val="00CA42AD"/>
    <w:rsid w:val="00CA43FD"/>
    <w:rsid w:val="00CA69F5"/>
    <w:rsid w:val="00CA7E13"/>
    <w:rsid w:val="00CA7EF8"/>
    <w:rsid w:val="00CB0E24"/>
    <w:rsid w:val="00CB158F"/>
    <w:rsid w:val="00CB2271"/>
    <w:rsid w:val="00CB3883"/>
    <w:rsid w:val="00CC1796"/>
    <w:rsid w:val="00CC489B"/>
    <w:rsid w:val="00CC4A54"/>
    <w:rsid w:val="00CC71E4"/>
    <w:rsid w:val="00CD04A9"/>
    <w:rsid w:val="00CD06B6"/>
    <w:rsid w:val="00CD2BCD"/>
    <w:rsid w:val="00CD3358"/>
    <w:rsid w:val="00CD33F6"/>
    <w:rsid w:val="00CD35DB"/>
    <w:rsid w:val="00CD3661"/>
    <w:rsid w:val="00CD3A4C"/>
    <w:rsid w:val="00CD54DF"/>
    <w:rsid w:val="00CE0F1A"/>
    <w:rsid w:val="00CE10E9"/>
    <w:rsid w:val="00CE2910"/>
    <w:rsid w:val="00CE29DD"/>
    <w:rsid w:val="00CE375A"/>
    <w:rsid w:val="00CE5393"/>
    <w:rsid w:val="00CE7E10"/>
    <w:rsid w:val="00CF1C15"/>
    <w:rsid w:val="00CF2E3C"/>
    <w:rsid w:val="00CF36BE"/>
    <w:rsid w:val="00CF6000"/>
    <w:rsid w:val="00CF6E4B"/>
    <w:rsid w:val="00D003F3"/>
    <w:rsid w:val="00D00F77"/>
    <w:rsid w:val="00D0364F"/>
    <w:rsid w:val="00D04AFB"/>
    <w:rsid w:val="00D05BA4"/>
    <w:rsid w:val="00D06149"/>
    <w:rsid w:val="00D06834"/>
    <w:rsid w:val="00D107D5"/>
    <w:rsid w:val="00D1405B"/>
    <w:rsid w:val="00D140FC"/>
    <w:rsid w:val="00D17457"/>
    <w:rsid w:val="00D20357"/>
    <w:rsid w:val="00D20743"/>
    <w:rsid w:val="00D212D3"/>
    <w:rsid w:val="00D264E6"/>
    <w:rsid w:val="00D308ED"/>
    <w:rsid w:val="00D31D7C"/>
    <w:rsid w:val="00D320EF"/>
    <w:rsid w:val="00D321DD"/>
    <w:rsid w:val="00D330EB"/>
    <w:rsid w:val="00D36631"/>
    <w:rsid w:val="00D36D86"/>
    <w:rsid w:val="00D405B0"/>
    <w:rsid w:val="00D428AA"/>
    <w:rsid w:val="00D4359C"/>
    <w:rsid w:val="00D4399E"/>
    <w:rsid w:val="00D4490A"/>
    <w:rsid w:val="00D46262"/>
    <w:rsid w:val="00D47855"/>
    <w:rsid w:val="00D50A34"/>
    <w:rsid w:val="00D53EFA"/>
    <w:rsid w:val="00D5402B"/>
    <w:rsid w:val="00D54C22"/>
    <w:rsid w:val="00D57DED"/>
    <w:rsid w:val="00D66D88"/>
    <w:rsid w:val="00D67C98"/>
    <w:rsid w:val="00D71EB3"/>
    <w:rsid w:val="00D730AA"/>
    <w:rsid w:val="00D75844"/>
    <w:rsid w:val="00D80064"/>
    <w:rsid w:val="00D801F0"/>
    <w:rsid w:val="00D84835"/>
    <w:rsid w:val="00D84F79"/>
    <w:rsid w:val="00D86D48"/>
    <w:rsid w:val="00D870BC"/>
    <w:rsid w:val="00D916B7"/>
    <w:rsid w:val="00D91EE3"/>
    <w:rsid w:val="00D9282B"/>
    <w:rsid w:val="00D94A7C"/>
    <w:rsid w:val="00D95896"/>
    <w:rsid w:val="00D95C5A"/>
    <w:rsid w:val="00D9716F"/>
    <w:rsid w:val="00DA1B28"/>
    <w:rsid w:val="00DA2BE1"/>
    <w:rsid w:val="00DA5A05"/>
    <w:rsid w:val="00DA65BA"/>
    <w:rsid w:val="00DB2983"/>
    <w:rsid w:val="00DB3731"/>
    <w:rsid w:val="00DB4C0A"/>
    <w:rsid w:val="00DB749B"/>
    <w:rsid w:val="00DC06DD"/>
    <w:rsid w:val="00DC1257"/>
    <w:rsid w:val="00DC3DC0"/>
    <w:rsid w:val="00DC5B2B"/>
    <w:rsid w:val="00DC783B"/>
    <w:rsid w:val="00DD2D51"/>
    <w:rsid w:val="00DD318D"/>
    <w:rsid w:val="00DD5BDB"/>
    <w:rsid w:val="00DE069A"/>
    <w:rsid w:val="00DE0A0C"/>
    <w:rsid w:val="00DE33C5"/>
    <w:rsid w:val="00DE4E56"/>
    <w:rsid w:val="00DE6610"/>
    <w:rsid w:val="00DF2E12"/>
    <w:rsid w:val="00DF514A"/>
    <w:rsid w:val="00DF541B"/>
    <w:rsid w:val="00DF6690"/>
    <w:rsid w:val="00DF6804"/>
    <w:rsid w:val="00E01EFF"/>
    <w:rsid w:val="00E0228B"/>
    <w:rsid w:val="00E03211"/>
    <w:rsid w:val="00E0358D"/>
    <w:rsid w:val="00E04323"/>
    <w:rsid w:val="00E044DF"/>
    <w:rsid w:val="00E070A2"/>
    <w:rsid w:val="00E1367D"/>
    <w:rsid w:val="00E2223F"/>
    <w:rsid w:val="00E24C15"/>
    <w:rsid w:val="00E2508F"/>
    <w:rsid w:val="00E2656A"/>
    <w:rsid w:val="00E27246"/>
    <w:rsid w:val="00E30EBA"/>
    <w:rsid w:val="00E3226D"/>
    <w:rsid w:val="00E32907"/>
    <w:rsid w:val="00E33316"/>
    <w:rsid w:val="00E37BAD"/>
    <w:rsid w:val="00E412D0"/>
    <w:rsid w:val="00E41687"/>
    <w:rsid w:val="00E419A4"/>
    <w:rsid w:val="00E433E8"/>
    <w:rsid w:val="00E44697"/>
    <w:rsid w:val="00E4477A"/>
    <w:rsid w:val="00E45211"/>
    <w:rsid w:val="00E453A7"/>
    <w:rsid w:val="00E47C9F"/>
    <w:rsid w:val="00E50ED5"/>
    <w:rsid w:val="00E5341E"/>
    <w:rsid w:val="00E554C0"/>
    <w:rsid w:val="00E56322"/>
    <w:rsid w:val="00E60982"/>
    <w:rsid w:val="00E60B81"/>
    <w:rsid w:val="00E62464"/>
    <w:rsid w:val="00E626E0"/>
    <w:rsid w:val="00E62C62"/>
    <w:rsid w:val="00E64237"/>
    <w:rsid w:val="00E64967"/>
    <w:rsid w:val="00E654C1"/>
    <w:rsid w:val="00E65D97"/>
    <w:rsid w:val="00E6614D"/>
    <w:rsid w:val="00E6754D"/>
    <w:rsid w:val="00E71CFA"/>
    <w:rsid w:val="00E72A5A"/>
    <w:rsid w:val="00E73354"/>
    <w:rsid w:val="00E7377E"/>
    <w:rsid w:val="00E73D24"/>
    <w:rsid w:val="00E75780"/>
    <w:rsid w:val="00E82E2D"/>
    <w:rsid w:val="00E8660B"/>
    <w:rsid w:val="00E873C9"/>
    <w:rsid w:val="00E90EF4"/>
    <w:rsid w:val="00E9242D"/>
    <w:rsid w:val="00E940AB"/>
    <w:rsid w:val="00EA034B"/>
    <w:rsid w:val="00EA15DA"/>
    <w:rsid w:val="00EA1B7C"/>
    <w:rsid w:val="00EA30FE"/>
    <w:rsid w:val="00EA68E8"/>
    <w:rsid w:val="00EA757D"/>
    <w:rsid w:val="00EB396A"/>
    <w:rsid w:val="00EB469F"/>
    <w:rsid w:val="00EB51EF"/>
    <w:rsid w:val="00EB5255"/>
    <w:rsid w:val="00EB5989"/>
    <w:rsid w:val="00EB5C47"/>
    <w:rsid w:val="00EB6316"/>
    <w:rsid w:val="00EB79C2"/>
    <w:rsid w:val="00EC4012"/>
    <w:rsid w:val="00EC5FFD"/>
    <w:rsid w:val="00ED0639"/>
    <w:rsid w:val="00ED1814"/>
    <w:rsid w:val="00ED313E"/>
    <w:rsid w:val="00ED3822"/>
    <w:rsid w:val="00ED46E3"/>
    <w:rsid w:val="00ED632E"/>
    <w:rsid w:val="00ED7A26"/>
    <w:rsid w:val="00ED7B21"/>
    <w:rsid w:val="00EE237B"/>
    <w:rsid w:val="00EE4B16"/>
    <w:rsid w:val="00EE58AA"/>
    <w:rsid w:val="00EF0C7D"/>
    <w:rsid w:val="00EF4755"/>
    <w:rsid w:val="00EF51E2"/>
    <w:rsid w:val="00EF5C68"/>
    <w:rsid w:val="00EF5CBE"/>
    <w:rsid w:val="00EF5E01"/>
    <w:rsid w:val="00EF7135"/>
    <w:rsid w:val="00F027DB"/>
    <w:rsid w:val="00F0364C"/>
    <w:rsid w:val="00F036F4"/>
    <w:rsid w:val="00F1002E"/>
    <w:rsid w:val="00F13CEC"/>
    <w:rsid w:val="00F147C4"/>
    <w:rsid w:val="00F14868"/>
    <w:rsid w:val="00F14A7A"/>
    <w:rsid w:val="00F14D45"/>
    <w:rsid w:val="00F17F98"/>
    <w:rsid w:val="00F207B2"/>
    <w:rsid w:val="00F20A73"/>
    <w:rsid w:val="00F22985"/>
    <w:rsid w:val="00F24B9B"/>
    <w:rsid w:val="00F25DBE"/>
    <w:rsid w:val="00F30B07"/>
    <w:rsid w:val="00F30FDF"/>
    <w:rsid w:val="00F32483"/>
    <w:rsid w:val="00F32DDB"/>
    <w:rsid w:val="00F33099"/>
    <w:rsid w:val="00F337D3"/>
    <w:rsid w:val="00F3383E"/>
    <w:rsid w:val="00F35E01"/>
    <w:rsid w:val="00F422A3"/>
    <w:rsid w:val="00F449E0"/>
    <w:rsid w:val="00F45FD2"/>
    <w:rsid w:val="00F45FEB"/>
    <w:rsid w:val="00F465A7"/>
    <w:rsid w:val="00F4690B"/>
    <w:rsid w:val="00F50B7C"/>
    <w:rsid w:val="00F5404A"/>
    <w:rsid w:val="00F547E4"/>
    <w:rsid w:val="00F550E6"/>
    <w:rsid w:val="00F55640"/>
    <w:rsid w:val="00F56E22"/>
    <w:rsid w:val="00F6021D"/>
    <w:rsid w:val="00F66B0A"/>
    <w:rsid w:val="00F73093"/>
    <w:rsid w:val="00F74345"/>
    <w:rsid w:val="00F7488C"/>
    <w:rsid w:val="00F76406"/>
    <w:rsid w:val="00F765BC"/>
    <w:rsid w:val="00F770EC"/>
    <w:rsid w:val="00F77471"/>
    <w:rsid w:val="00F80A0A"/>
    <w:rsid w:val="00F81F71"/>
    <w:rsid w:val="00F82B19"/>
    <w:rsid w:val="00F83DCF"/>
    <w:rsid w:val="00F858B8"/>
    <w:rsid w:val="00F91B9C"/>
    <w:rsid w:val="00F91C64"/>
    <w:rsid w:val="00F9212D"/>
    <w:rsid w:val="00F94579"/>
    <w:rsid w:val="00F94A84"/>
    <w:rsid w:val="00F965DA"/>
    <w:rsid w:val="00F965F0"/>
    <w:rsid w:val="00FA1D26"/>
    <w:rsid w:val="00FA267E"/>
    <w:rsid w:val="00FA406A"/>
    <w:rsid w:val="00FA4CF0"/>
    <w:rsid w:val="00FA66DE"/>
    <w:rsid w:val="00FA795F"/>
    <w:rsid w:val="00FB388E"/>
    <w:rsid w:val="00FB503A"/>
    <w:rsid w:val="00FB516C"/>
    <w:rsid w:val="00FB5757"/>
    <w:rsid w:val="00FB7D84"/>
    <w:rsid w:val="00FC20FD"/>
    <w:rsid w:val="00FC22F7"/>
    <w:rsid w:val="00FC6B9B"/>
    <w:rsid w:val="00FD0236"/>
    <w:rsid w:val="00FD18F4"/>
    <w:rsid w:val="00FD54DB"/>
    <w:rsid w:val="00FD619F"/>
    <w:rsid w:val="00FE1BB5"/>
    <w:rsid w:val="00FE2982"/>
    <w:rsid w:val="00FE4BD0"/>
    <w:rsid w:val="00FE519A"/>
    <w:rsid w:val="00FE75C2"/>
    <w:rsid w:val="00FF08AB"/>
    <w:rsid w:val="00FF2965"/>
    <w:rsid w:val="00FF3A44"/>
    <w:rsid w:val="01290F7E"/>
    <w:rsid w:val="015D1E09"/>
    <w:rsid w:val="01E073A5"/>
    <w:rsid w:val="02697903"/>
    <w:rsid w:val="02F96569"/>
    <w:rsid w:val="03EA7B21"/>
    <w:rsid w:val="042914C8"/>
    <w:rsid w:val="05F83EAE"/>
    <w:rsid w:val="063E7D85"/>
    <w:rsid w:val="07293586"/>
    <w:rsid w:val="07295285"/>
    <w:rsid w:val="07636392"/>
    <w:rsid w:val="07770C56"/>
    <w:rsid w:val="0825634E"/>
    <w:rsid w:val="08FA3232"/>
    <w:rsid w:val="092217DD"/>
    <w:rsid w:val="093A7294"/>
    <w:rsid w:val="0A263993"/>
    <w:rsid w:val="0A2D3AC2"/>
    <w:rsid w:val="0A883D47"/>
    <w:rsid w:val="0AA755DF"/>
    <w:rsid w:val="0B120D44"/>
    <w:rsid w:val="0BD27BF6"/>
    <w:rsid w:val="0C3B3C7D"/>
    <w:rsid w:val="0C560E71"/>
    <w:rsid w:val="0CAB2EAE"/>
    <w:rsid w:val="0D621C7D"/>
    <w:rsid w:val="0E73034D"/>
    <w:rsid w:val="0EA6503C"/>
    <w:rsid w:val="0F13775A"/>
    <w:rsid w:val="0F5F45FE"/>
    <w:rsid w:val="0F9A112B"/>
    <w:rsid w:val="0FE631BD"/>
    <w:rsid w:val="106D2F64"/>
    <w:rsid w:val="10B63710"/>
    <w:rsid w:val="10F10820"/>
    <w:rsid w:val="111C2F7A"/>
    <w:rsid w:val="11665CA1"/>
    <w:rsid w:val="13254894"/>
    <w:rsid w:val="13951726"/>
    <w:rsid w:val="14396509"/>
    <w:rsid w:val="14DD2C3C"/>
    <w:rsid w:val="156D1218"/>
    <w:rsid w:val="16087E1D"/>
    <w:rsid w:val="16EE37BF"/>
    <w:rsid w:val="17701D14"/>
    <w:rsid w:val="17735226"/>
    <w:rsid w:val="177C760C"/>
    <w:rsid w:val="189F624C"/>
    <w:rsid w:val="18AF1AD7"/>
    <w:rsid w:val="1A1C66C0"/>
    <w:rsid w:val="1A42393B"/>
    <w:rsid w:val="1AAD45DE"/>
    <w:rsid w:val="1B046F80"/>
    <w:rsid w:val="1B3267B5"/>
    <w:rsid w:val="1B40161D"/>
    <w:rsid w:val="1B441859"/>
    <w:rsid w:val="1B6606B1"/>
    <w:rsid w:val="1C5E7925"/>
    <w:rsid w:val="1CFD070F"/>
    <w:rsid w:val="1D5F6196"/>
    <w:rsid w:val="1D6132A5"/>
    <w:rsid w:val="1D8E56D5"/>
    <w:rsid w:val="1DC86099"/>
    <w:rsid w:val="1E7A43DA"/>
    <w:rsid w:val="1FCC126A"/>
    <w:rsid w:val="1FE7539E"/>
    <w:rsid w:val="20671BE0"/>
    <w:rsid w:val="20963CB8"/>
    <w:rsid w:val="20A81A1B"/>
    <w:rsid w:val="20B07FB6"/>
    <w:rsid w:val="20B646FB"/>
    <w:rsid w:val="20C615A2"/>
    <w:rsid w:val="213B74B1"/>
    <w:rsid w:val="215A2310"/>
    <w:rsid w:val="21DE318A"/>
    <w:rsid w:val="21EF5B80"/>
    <w:rsid w:val="22576990"/>
    <w:rsid w:val="228E4DC3"/>
    <w:rsid w:val="22F47480"/>
    <w:rsid w:val="23DE1C48"/>
    <w:rsid w:val="240210CD"/>
    <w:rsid w:val="2463530D"/>
    <w:rsid w:val="24BF09F7"/>
    <w:rsid w:val="252D53FE"/>
    <w:rsid w:val="255F2A47"/>
    <w:rsid w:val="25EC2D81"/>
    <w:rsid w:val="261A10EA"/>
    <w:rsid w:val="277057A2"/>
    <w:rsid w:val="291C2467"/>
    <w:rsid w:val="29206EB8"/>
    <w:rsid w:val="29595666"/>
    <w:rsid w:val="29874881"/>
    <w:rsid w:val="29E325E0"/>
    <w:rsid w:val="2A452503"/>
    <w:rsid w:val="2A5F0521"/>
    <w:rsid w:val="2A692744"/>
    <w:rsid w:val="2BA936A8"/>
    <w:rsid w:val="2C315A5A"/>
    <w:rsid w:val="2C4B1C25"/>
    <w:rsid w:val="2D9E56F5"/>
    <w:rsid w:val="2E667F96"/>
    <w:rsid w:val="2E8226AB"/>
    <w:rsid w:val="2FD065E6"/>
    <w:rsid w:val="2FD96870"/>
    <w:rsid w:val="30580BC9"/>
    <w:rsid w:val="30801024"/>
    <w:rsid w:val="311E2ED7"/>
    <w:rsid w:val="315619EE"/>
    <w:rsid w:val="315C449C"/>
    <w:rsid w:val="315F6C19"/>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11F5E"/>
    <w:rsid w:val="392971ED"/>
    <w:rsid w:val="39325651"/>
    <w:rsid w:val="3A872856"/>
    <w:rsid w:val="3AF22D5D"/>
    <w:rsid w:val="3B2623D1"/>
    <w:rsid w:val="3B3763D1"/>
    <w:rsid w:val="3C2F6E1E"/>
    <w:rsid w:val="3C3611F9"/>
    <w:rsid w:val="3C4F64BA"/>
    <w:rsid w:val="3CDA245A"/>
    <w:rsid w:val="3D1E06B7"/>
    <w:rsid w:val="3EDA0523"/>
    <w:rsid w:val="3F43587D"/>
    <w:rsid w:val="3F8F1483"/>
    <w:rsid w:val="407A6407"/>
    <w:rsid w:val="41D8308D"/>
    <w:rsid w:val="4200449D"/>
    <w:rsid w:val="423A3BCC"/>
    <w:rsid w:val="424E57D2"/>
    <w:rsid w:val="42B26C49"/>
    <w:rsid w:val="433A6FE6"/>
    <w:rsid w:val="43480868"/>
    <w:rsid w:val="4350713C"/>
    <w:rsid w:val="436653E0"/>
    <w:rsid w:val="43C4431A"/>
    <w:rsid w:val="44B951CC"/>
    <w:rsid w:val="44CD14E0"/>
    <w:rsid w:val="44F20B0B"/>
    <w:rsid w:val="45051586"/>
    <w:rsid w:val="452E5F4C"/>
    <w:rsid w:val="45612018"/>
    <w:rsid w:val="458946E9"/>
    <w:rsid w:val="45A47C0E"/>
    <w:rsid w:val="46521C1C"/>
    <w:rsid w:val="46577FD6"/>
    <w:rsid w:val="46D955A7"/>
    <w:rsid w:val="47133957"/>
    <w:rsid w:val="47A07E0C"/>
    <w:rsid w:val="4870272E"/>
    <w:rsid w:val="48986965"/>
    <w:rsid w:val="48A028E4"/>
    <w:rsid w:val="49DC7715"/>
    <w:rsid w:val="4A023139"/>
    <w:rsid w:val="4A7B576F"/>
    <w:rsid w:val="4AC01469"/>
    <w:rsid w:val="4AF561A9"/>
    <w:rsid w:val="4BFC5CC8"/>
    <w:rsid w:val="4C4A0649"/>
    <w:rsid w:val="4C7E5ECA"/>
    <w:rsid w:val="4C876AA5"/>
    <w:rsid w:val="4D0E00FB"/>
    <w:rsid w:val="4D176606"/>
    <w:rsid w:val="4D814AFF"/>
    <w:rsid w:val="4DEC4FB0"/>
    <w:rsid w:val="4E075D8A"/>
    <w:rsid w:val="4EC00FAD"/>
    <w:rsid w:val="4EF85DFE"/>
    <w:rsid w:val="4F3436D5"/>
    <w:rsid w:val="4F9843DC"/>
    <w:rsid w:val="4FB01A3D"/>
    <w:rsid w:val="4FC62A8C"/>
    <w:rsid w:val="4FE20F0D"/>
    <w:rsid w:val="4FE51552"/>
    <w:rsid w:val="50504C4B"/>
    <w:rsid w:val="509C6E7C"/>
    <w:rsid w:val="5162104E"/>
    <w:rsid w:val="517878E7"/>
    <w:rsid w:val="52043100"/>
    <w:rsid w:val="53A039CC"/>
    <w:rsid w:val="53A1505A"/>
    <w:rsid w:val="54063E08"/>
    <w:rsid w:val="543437E8"/>
    <w:rsid w:val="5451484E"/>
    <w:rsid w:val="54906B59"/>
    <w:rsid w:val="54F73313"/>
    <w:rsid w:val="54F80955"/>
    <w:rsid w:val="551E6E75"/>
    <w:rsid w:val="555170A7"/>
    <w:rsid w:val="5587536D"/>
    <w:rsid w:val="559B174B"/>
    <w:rsid w:val="55CE0CF4"/>
    <w:rsid w:val="56B22A9C"/>
    <w:rsid w:val="56C7446E"/>
    <w:rsid w:val="57B72A76"/>
    <w:rsid w:val="57C3426C"/>
    <w:rsid w:val="57CE1F93"/>
    <w:rsid w:val="588743D1"/>
    <w:rsid w:val="5887701A"/>
    <w:rsid w:val="59C0439F"/>
    <w:rsid w:val="5A3D3D02"/>
    <w:rsid w:val="5A6220B6"/>
    <w:rsid w:val="5ABE2233"/>
    <w:rsid w:val="5ACE32A8"/>
    <w:rsid w:val="5AFD2D4C"/>
    <w:rsid w:val="5BDF5D95"/>
    <w:rsid w:val="5BE70AC5"/>
    <w:rsid w:val="5BEF5248"/>
    <w:rsid w:val="5BFE7528"/>
    <w:rsid w:val="5CA715CB"/>
    <w:rsid w:val="5E2467F1"/>
    <w:rsid w:val="5F0B5448"/>
    <w:rsid w:val="5F1A2B43"/>
    <w:rsid w:val="5F933482"/>
    <w:rsid w:val="5FB837BB"/>
    <w:rsid w:val="60A03BFB"/>
    <w:rsid w:val="60CC405A"/>
    <w:rsid w:val="61E215D8"/>
    <w:rsid w:val="621B3775"/>
    <w:rsid w:val="62364782"/>
    <w:rsid w:val="62B71A22"/>
    <w:rsid w:val="6394356A"/>
    <w:rsid w:val="63C61B2C"/>
    <w:rsid w:val="63D40BE9"/>
    <w:rsid w:val="64102431"/>
    <w:rsid w:val="64636801"/>
    <w:rsid w:val="64A5243A"/>
    <w:rsid w:val="64F531DE"/>
    <w:rsid w:val="65373578"/>
    <w:rsid w:val="671F124A"/>
    <w:rsid w:val="677A33C6"/>
    <w:rsid w:val="681C38A5"/>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8497E"/>
    <w:rsid w:val="6ED92677"/>
    <w:rsid w:val="6F225983"/>
    <w:rsid w:val="6FFC5590"/>
    <w:rsid w:val="703D5DE7"/>
    <w:rsid w:val="706D1DD0"/>
    <w:rsid w:val="70856B87"/>
    <w:rsid w:val="70D527EE"/>
    <w:rsid w:val="715B5300"/>
    <w:rsid w:val="71D27F8A"/>
    <w:rsid w:val="721977F1"/>
    <w:rsid w:val="72553024"/>
    <w:rsid w:val="72977579"/>
    <w:rsid w:val="72D121A7"/>
    <w:rsid w:val="73122968"/>
    <w:rsid w:val="731F5D5E"/>
    <w:rsid w:val="7358095B"/>
    <w:rsid w:val="73C51AD5"/>
    <w:rsid w:val="741E793C"/>
    <w:rsid w:val="745E3944"/>
    <w:rsid w:val="74B92BD0"/>
    <w:rsid w:val="7635099D"/>
    <w:rsid w:val="77762421"/>
    <w:rsid w:val="77B56B1F"/>
    <w:rsid w:val="780F09F4"/>
    <w:rsid w:val="78A90480"/>
    <w:rsid w:val="792812E8"/>
    <w:rsid w:val="7A364017"/>
    <w:rsid w:val="7A8265E1"/>
    <w:rsid w:val="7B686D42"/>
    <w:rsid w:val="7B841746"/>
    <w:rsid w:val="7C52239D"/>
    <w:rsid w:val="7C6C5AC7"/>
    <w:rsid w:val="7CC6544B"/>
    <w:rsid w:val="7D0239FF"/>
    <w:rsid w:val="7D5E40CD"/>
    <w:rsid w:val="7D902913"/>
    <w:rsid w:val="7D92331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5"/>
    <w:qFormat/>
    <w:locked/>
    <w:uiPriority w:val="0"/>
    <w:rPr>
      <w:sz w:val="24"/>
      <w:szCs w:val="20"/>
    </w:rPr>
  </w:style>
  <w:style w:type="paragraph" w:styleId="4">
    <w:name w:val="annotation text"/>
    <w:basedOn w:val="1"/>
    <w:link w:val="26"/>
    <w:semiHidden/>
    <w:qFormat/>
    <w:uiPriority w:val="0"/>
    <w:pPr>
      <w:jc w:val="left"/>
    </w:pPr>
    <w:rPr>
      <w:kern w:val="0"/>
      <w:sz w:val="24"/>
      <w:szCs w:val="20"/>
    </w:rPr>
  </w:style>
  <w:style w:type="paragraph" w:styleId="5">
    <w:name w:val="Body Text"/>
    <w:basedOn w:val="1"/>
    <w:next w:val="1"/>
    <w:link w:val="27"/>
    <w:qFormat/>
    <w:uiPriority w:val="0"/>
    <w:pPr>
      <w:widowControl/>
      <w:snapToGrid w:val="0"/>
      <w:spacing w:before="60" w:after="160" w:line="259" w:lineRule="auto"/>
      <w:ind w:right="113"/>
    </w:pPr>
    <w:rPr>
      <w:kern w:val="0"/>
      <w:sz w:val="18"/>
      <w:szCs w:val="20"/>
    </w:rPr>
  </w:style>
  <w:style w:type="paragraph" w:styleId="6">
    <w:name w:val="Body Text Indent"/>
    <w:basedOn w:val="1"/>
    <w:next w:val="5"/>
    <w:link w:val="28"/>
    <w:qFormat/>
    <w:uiPriority w:val="0"/>
    <w:pPr>
      <w:spacing w:after="120"/>
      <w:ind w:left="420" w:leftChars="200"/>
    </w:pPr>
    <w:rPr>
      <w:kern w:val="0"/>
      <w:sz w:val="24"/>
      <w:szCs w:val="20"/>
    </w:rPr>
  </w:style>
  <w:style w:type="paragraph" w:styleId="7">
    <w:name w:val="Block Text"/>
    <w:basedOn w:val="1"/>
    <w:next w:val="1"/>
    <w:qFormat/>
    <w:locked/>
    <w:uiPriority w:val="0"/>
    <w:pPr>
      <w:ind w:left="100" w:leftChars="100" w:right="100" w:rightChars="100" w:firstLine="560" w:firstLineChars="200"/>
    </w:pPr>
    <w:rPr>
      <w:rFonts w:ascii="宋体" w:hAnsi="宋体"/>
      <w:sz w:val="28"/>
    </w:rPr>
  </w:style>
  <w:style w:type="paragraph" w:styleId="8">
    <w:name w:val="Plain Text"/>
    <w:basedOn w:val="1"/>
    <w:link w:val="29"/>
    <w:qFormat/>
    <w:locked/>
    <w:uiPriority w:val="0"/>
    <w:rPr>
      <w:rFonts w:ascii="宋体" w:hAnsi="Courier New"/>
      <w:szCs w:val="20"/>
    </w:rPr>
  </w:style>
  <w:style w:type="paragraph" w:styleId="9">
    <w:name w:val="List Bullet 5"/>
    <w:basedOn w:val="1"/>
    <w:qFormat/>
    <w:locked/>
    <w:uiPriority w:val="0"/>
    <w:pPr>
      <w:numPr>
        <w:ilvl w:val="0"/>
        <w:numId w:val="1"/>
      </w:numPr>
    </w:pPr>
  </w:style>
  <w:style w:type="paragraph" w:styleId="10">
    <w:name w:val="Date"/>
    <w:basedOn w:val="1"/>
    <w:next w:val="1"/>
    <w:link w:val="30"/>
    <w:qFormat/>
    <w:uiPriority w:val="0"/>
    <w:pPr>
      <w:ind w:left="100" w:leftChars="2500"/>
    </w:pPr>
    <w:rPr>
      <w:kern w:val="0"/>
      <w:sz w:val="24"/>
      <w:szCs w:val="20"/>
    </w:rPr>
  </w:style>
  <w:style w:type="paragraph" w:styleId="11">
    <w:name w:val="Body Text Indent 2"/>
    <w:basedOn w:val="1"/>
    <w:link w:val="31"/>
    <w:qFormat/>
    <w:locked/>
    <w:uiPriority w:val="0"/>
    <w:pPr>
      <w:spacing w:after="120" w:line="480" w:lineRule="auto"/>
      <w:ind w:left="420" w:leftChars="200"/>
    </w:pPr>
  </w:style>
  <w:style w:type="paragraph" w:styleId="12">
    <w:name w:val="Balloon Text"/>
    <w:basedOn w:val="1"/>
    <w:link w:val="32"/>
    <w:semiHidden/>
    <w:qFormat/>
    <w:uiPriority w:val="0"/>
    <w:rPr>
      <w:kern w:val="0"/>
      <w:sz w:val="18"/>
      <w:szCs w:val="20"/>
    </w:rPr>
  </w:style>
  <w:style w:type="paragraph" w:styleId="13">
    <w:name w:val="footer"/>
    <w:basedOn w:val="1"/>
    <w:link w:val="33"/>
    <w:qFormat/>
    <w:uiPriority w:val="99"/>
    <w:pPr>
      <w:tabs>
        <w:tab w:val="center" w:pos="4153"/>
        <w:tab w:val="right" w:pos="8306"/>
      </w:tabs>
      <w:snapToGrid w:val="0"/>
      <w:jc w:val="left"/>
    </w:pPr>
    <w:rPr>
      <w:kern w:val="0"/>
      <w:sz w:val="18"/>
      <w:szCs w:val="20"/>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Body Text Indent 3"/>
    <w:basedOn w:val="1"/>
    <w:link w:val="35"/>
    <w:qFormat/>
    <w:locked/>
    <w:uiPriority w:val="0"/>
    <w:pPr>
      <w:spacing w:after="120"/>
      <w:ind w:left="420" w:leftChars="200"/>
    </w:pPr>
    <w:rPr>
      <w:sz w:val="16"/>
      <w:szCs w:val="16"/>
    </w:rPr>
  </w:style>
  <w:style w:type="paragraph" w:styleId="16">
    <w:name w:val="Normal (Web)"/>
    <w:basedOn w:val="1"/>
    <w:link w:val="36"/>
    <w:qFormat/>
    <w:uiPriority w:val="0"/>
    <w:pPr>
      <w:widowControl/>
      <w:spacing w:before="100" w:beforeAutospacing="1" w:after="100" w:afterAutospacing="1"/>
      <w:jc w:val="left"/>
    </w:pPr>
    <w:rPr>
      <w:rFonts w:ascii="宋体" w:hAnsi="宋体"/>
      <w:kern w:val="0"/>
      <w:sz w:val="24"/>
      <w:szCs w:val="20"/>
    </w:rPr>
  </w:style>
  <w:style w:type="paragraph" w:styleId="17">
    <w:name w:val="annotation subject"/>
    <w:basedOn w:val="4"/>
    <w:next w:val="4"/>
    <w:link w:val="37"/>
    <w:semiHidden/>
    <w:qFormat/>
    <w:uiPriority w:val="0"/>
    <w:rPr>
      <w:b/>
      <w:kern w:val="2"/>
    </w:rPr>
  </w:style>
  <w:style w:type="paragraph" w:styleId="18">
    <w:name w:val="Body Text First Indent 2"/>
    <w:basedOn w:val="6"/>
    <w:next w:val="1"/>
    <w:link w:val="38"/>
    <w:qFormat/>
    <w:locked/>
    <w:uiPriority w:val="0"/>
    <w:pPr>
      <w:spacing w:line="520" w:lineRule="exact"/>
      <w:ind w:firstLine="560"/>
    </w:pPr>
    <w:rPr>
      <w:rFonts w:ascii="宋体"/>
      <w:sz w:val="28"/>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locked/>
    <w:uiPriority w:val="0"/>
  </w:style>
  <w:style w:type="character" w:styleId="23">
    <w:name w:val="annotation reference"/>
    <w:semiHidden/>
    <w:qFormat/>
    <w:uiPriority w:val="0"/>
    <w:rPr>
      <w:sz w:val="21"/>
    </w:rPr>
  </w:style>
  <w:style w:type="paragraph" w:customStyle="1" w:styleId="24">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
    <w:name w:val="正文缩进 字符"/>
    <w:link w:val="3"/>
    <w:qFormat/>
    <w:uiPriority w:val="0"/>
    <w:rPr>
      <w:kern w:val="2"/>
      <w:sz w:val="24"/>
    </w:rPr>
  </w:style>
  <w:style w:type="character" w:customStyle="1" w:styleId="26">
    <w:name w:val="批注文字 字符"/>
    <w:link w:val="4"/>
    <w:qFormat/>
    <w:locked/>
    <w:uiPriority w:val="0"/>
    <w:rPr>
      <w:rFonts w:ascii="Times New Roman" w:hAnsi="Times New Roman" w:eastAsia="宋体"/>
      <w:sz w:val="24"/>
    </w:rPr>
  </w:style>
  <w:style w:type="character" w:customStyle="1" w:styleId="27">
    <w:name w:val="正文文本 字符"/>
    <w:link w:val="5"/>
    <w:qFormat/>
    <w:locked/>
    <w:uiPriority w:val="0"/>
    <w:rPr>
      <w:sz w:val="18"/>
    </w:rPr>
  </w:style>
  <w:style w:type="character" w:customStyle="1" w:styleId="28">
    <w:name w:val="正文文本缩进 字符"/>
    <w:link w:val="6"/>
    <w:semiHidden/>
    <w:qFormat/>
    <w:locked/>
    <w:uiPriority w:val="0"/>
    <w:rPr>
      <w:rFonts w:ascii="Times New Roman" w:hAnsi="Times New Roman" w:eastAsia="宋体"/>
      <w:sz w:val="24"/>
    </w:rPr>
  </w:style>
  <w:style w:type="character" w:customStyle="1" w:styleId="29">
    <w:name w:val="纯文本 字符"/>
    <w:link w:val="8"/>
    <w:qFormat/>
    <w:uiPriority w:val="0"/>
    <w:rPr>
      <w:rFonts w:ascii="宋体" w:hAnsi="Courier New"/>
      <w:kern w:val="2"/>
      <w:sz w:val="21"/>
    </w:rPr>
  </w:style>
  <w:style w:type="character" w:customStyle="1" w:styleId="30">
    <w:name w:val="日期 字符1"/>
    <w:link w:val="10"/>
    <w:qFormat/>
    <w:locked/>
    <w:uiPriority w:val="0"/>
    <w:rPr>
      <w:rFonts w:ascii="Times New Roman" w:hAnsi="Times New Roman" w:eastAsia="宋体"/>
      <w:sz w:val="24"/>
    </w:rPr>
  </w:style>
  <w:style w:type="character" w:customStyle="1" w:styleId="31">
    <w:name w:val="正文文本缩进 2 字符"/>
    <w:link w:val="11"/>
    <w:qFormat/>
    <w:uiPriority w:val="0"/>
    <w:rPr>
      <w:kern w:val="2"/>
      <w:sz w:val="21"/>
      <w:szCs w:val="24"/>
    </w:rPr>
  </w:style>
  <w:style w:type="character" w:customStyle="1" w:styleId="32">
    <w:name w:val="批注框文本 字符"/>
    <w:link w:val="12"/>
    <w:semiHidden/>
    <w:qFormat/>
    <w:locked/>
    <w:uiPriority w:val="0"/>
    <w:rPr>
      <w:rFonts w:ascii="Times New Roman" w:hAnsi="Times New Roman" w:eastAsia="宋体"/>
      <w:sz w:val="18"/>
    </w:rPr>
  </w:style>
  <w:style w:type="character" w:customStyle="1" w:styleId="33">
    <w:name w:val="页脚 字符1"/>
    <w:link w:val="13"/>
    <w:qFormat/>
    <w:locked/>
    <w:uiPriority w:val="99"/>
    <w:rPr>
      <w:sz w:val="18"/>
    </w:rPr>
  </w:style>
  <w:style w:type="character" w:customStyle="1" w:styleId="34">
    <w:name w:val="页眉 字符"/>
    <w:link w:val="14"/>
    <w:qFormat/>
    <w:locked/>
    <w:uiPriority w:val="0"/>
    <w:rPr>
      <w:sz w:val="18"/>
    </w:rPr>
  </w:style>
  <w:style w:type="character" w:customStyle="1" w:styleId="35">
    <w:name w:val="正文文本缩进 3 字符"/>
    <w:link w:val="15"/>
    <w:qFormat/>
    <w:uiPriority w:val="0"/>
    <w:rPr>
      <w:kern w:val="2"/>
      <w:sz w:val="16"/>
      <w:szCs w:val="16"/>
    </w:rPr>
  </w:style>
  <w:style w:type="character" w:customStyle="1" w:styleId="36">
    <w:name w:val="普通(网站) 字符"/>
    <w:link w:val="16"/>
    <w:qFormat/>
    <w:locked/>
    <w:uiPriority w:val="0"/>
    <w:rPr>
      <w:rFonts w:ascii="宋体" w:hAnsi="宋体" w:eastAsia="宋体"/>
      <w:sz w:val="24"/>
    </w:rPr>
  </w:style>
  <w:style w:type="character" w:customStyle="1" w:styleId="37">
    <w:name w:val="批注主题 字符"/>
    <w:link w:val="17"/>
    <w:semiHidden/>
    <w:qFormat/>
    <w:locked/>
    <w:uiPriority w:val="0"/>
    <w:rPr>
      <w:rFonts w:ascii="Times New Roman" w:hAnsi="Times New Roman" w:eastAsia="宋体"/>
      <w:b/>
      <w:kern w:val="2"/>
      <w:sz w:val="24"/>
    </w:rPr>
  </w:style>
  <w:style w:type="character" w:customStyle="1" w:styleId="38">
    <w:name w:val="正文文本首行缩进 2 字符"/>
    <w:link w:val="18"/>
    <w:qFormat/>
    <w:uiPriority w:val="0"/>
    <w:rPr>
      <w:rFonts w:ascii="宋体" w:hAnsi="Times New Roman" w:eastAsia="宋体"/>
      <w:kern w:val="2"/>
      <w:sz w:val="28"/>
      <w:szCs w:val="24"/>
    </w:rPr>
  </w:style>
  <w:style w:type="character" w:customStyle="1" w:styleId="39">
    <w:name w:val="页脚 字符"/>
    <w:basedOn w:val="21"/>
    <w:qFormat/>
    <w:uiPriority w:val="99"/>
  </w:style>
  <w:style w:type="character" w:customStyle="1" w:styleId="40">
    <w:name w:val="正文文本 字符1"/>
    <w:semiHidden/>
    <w:qFormat/>
    <w:uiPriority w:val="0"/>
    <w:rPr>
      <w:rFonts w:ascii="Times New Roman" w:hAnsi="Times New Roman" w:eastAsia="宋体"/>
      <w:sz w:val="24"/>
    </w:rPr>
  </w:style>
  <w:style w:type="character" w:customStyle="1" w:styleId="41">
    <w:name w:val="表格 Char"/>
    <w:link w:val="42"/>
    <w:qFormat/>
    <w:locked/>
    <w:uiPriority w:val="0"/>
    <w:rPr>
      <w:rFonts w:ascii="宋体"/>
      <w:sz w:val="21"/>
    </w:rPr>
  </w:style>
  <w:style w:type="paragraph" w:customStyle="1" w:styleId="42">
    <w:name w:val="表格"/>
    <w:basedOn w:val="1"/>
    <w:next w:val="1"/>
    <w:link w:val="41"/>
    <w:qFormat/>
    <w:uiPriority w:val="0"/>
    <w:pPr>
      <w:adjustRightInd w:val="0"/>
      <w:snapToGrid w:val="0"/>
      <w:spacing w:beforeLines="10" w:afterLines="10" w:line="259" w:lineRule="auto"/>
      <w:jc w:val="center"/>
    </w:pPr>
    <w:rPr>
      <w:rFonts w:ascii="宋体"/>
      <w:kern w:val="0"/>
      <w:szCs w:val="20"/>
    </w:rPr>
  </w:style>
  <w:style w:type="character" w:customStyle="1" w:styleId="43">
    <w:name w:val="日期 字符"/>
    <w:semiHidden/>
    <w:qFormat/>
    <w:uiPriority w:val="0"/>
    <w:rPr>
      <w:rFonts w:ascii="Times New Roman" w:hAnsi="Times New Roman" w:eastAsia="宋体"/>
      <w:sz w:val="24"/>
    </w:rPr>
  </w:style>
  <w:style w:type="character" w:customStyle="1" w:styleId="44">
    <w:name w:val="批注文字 字符1"/>
    <w:semiHidden/>
    <w:qFormat/>
    <w:uiPriority w:val="0"/>
    <w:rPr>
      <w:rFonts w:ascii="Times New Roman" w:hAnsi="Times New Roman" w:eastAsia="宋体"/>
      <w:sz w:val="24"/>
    </w:rPr>
  </w:style>
  <w:style w:type="paragraph" w:customStyle="1" w:styleId="4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7">
    <w:name w:val="表题"/>
    <w:basedOn w:val="1"/>
    <w:qFormat/>
    <w:uiPriority w:val="0"/>
    <w:pPr>
      <w:snapToGrid w:val="0"/>
      <w:spacing w:line="520" w:lineRule="exact"/>
      <w:jc w:val="center"/>
    </w:pPr>
    <w:rPr>
      <w:rFonts w:eastAsia="黑体"/>
      <w:sz w:val="24"/>
      <w:szCs w:val="20"/>
    </w:rPr>
  </w:style>
  <w:style w:type="character" w:customStyle="1" w:styleId="48">
    <w:name w:val="fontstyle01"/>
    <w:qFormat/>
    <w:uiPriority w:val="0"/>
    <w:rPr>
      <w:rFonts w:hint="eastAsia" w:ascii="宋体" w:hAnsi="宋体" w:eastAsia="宋体"/>
      <w:color w:val="000000"/>
      <w:sz w:val="30"/>
      <w:szCs w:val="30"/>
    </w:rPr>
  </w:style>
  <w:style w:type="paragraph" w:customStyle="1" w:styleId="49">
    <w:name w:val="Char Char1 Char Char Char Char Char Char"/>
    <w:basedOn w:val="1"/>
    <w:qFormat/>
    <w:uiPriority w:val="0"/>
    <w:pPr>
      <w:spacing w:line="360" w:lineRule="auto"/>
      <w:ind w:firstLine="200" w:firstLineChars="200"/>
    </w:pPr>
    <w:rPr>
      <w:rFonts w:ascii="宋体" w:hAnsi="宋体"/>
      <w:szCs w:val="22"/>
    </w:rPr>
  </w:style>
  <w:style w:type="character" w:customStyle="1" w:styleId="50">
    <w:name w:val="font11"/>
    <w:qFormat/>
    <w:uiPriority w:val="0"/>
    <w:rPr>
      <w:rFonts w:hint="default" w:ascii="Times New Roman" w:hAnsi="Times New Roman" w:cs="Times New Roman"/>
      <w:color w:val="000000"/>
      <w:sz w:val="18"/>
      <w:szCs w:val="18"/>
      <w:u w:val="none"/>
    </w:rPr>
  </w:style>
  <w:style w:type="character" w:customStyle="1" w:styleId="51">
    <w:name w:val="font01"/>
    <w:qFormat/>
    <w:uiPriority w:val="0"/>
    <w:rPr>
      <w:rFonts w:hint="eastAsia" w:ascii="宋体" w:hAnsi="宋体" w:eastAsia="宋体" w:cs="宋体"/>
      <w:color w:val="000000"/>
      <w:sz w:val="18"/>
      <w:szCs w:val="18"/>
      <w:u w:val="none"/>
    </w:rPr>
  </w:style>
  <w:style w:type="paragraph" w:customStyle="1" w:styleId="52">
    <w:name w:val="正文东铝"/>
    <w:basedOn w:val="1"/>
    <w:qFormat/>
    <w:uiPriority w:val="0"/>
    <w:pPr>
      <w:spacing w:line="520" w:lineRule="exact"/>
      <w:ind w:firstLine="200" w:firstLineChars="200"/>
      <w:jc w:val="left"/>
    </w:pPr>
    <w:rPr>
      <w:color w:val="000000"/>
      <w:sz w:val="24"/>
    </w:rPr>
  </w:style>
  <w:style w:type="paragraph" w:styleId="53">
    <w:name w:val="List Paragraph"/>
    <w:basedOn w:val="1"/>
    <w:link w:val="54"/>
    <w:qFormat/>
    <w:uiPriority w:val="34"/>
    <w:pPr>
      <w:autoSpaceDE w:val="0"/>
      <w:autoSpaceDN w:val="0"/>
      <w:jc w:val="left"/>
    </w:pPr>
    <w:rPr>
      <w:rFonts w:ascii="宋体" w:hAnsi="宋体" w:cs="宋体"/>
      <w:kern w:val="0"/>
      <w:sz w:val="22"/>
      <w:szCs w:val="22"/>
      <w:lang w:val="zh-CN" w:bidi="zh-CN"/>
    </w:rPr>
  </w:style>
  <w:style w:type="character" w:customStyle="1" w:styleId="54">
    <w:name w:val="列表段落 字符"/>
    <w:link w:val="53"/>
    <w:qFormat/>
    <w:uiPriority w:val="34"/>
    <w:rPr>
      <w:rFonts w:ascii="宋体" w:hAnsi="宋体" w:cs="宋体"/>
      <w:sz w:val="22"/>
      <w:szCs w:val="22"/>
      <w:lang w:val="zh-CN" w:bidi="zh-CN"/>
    </w:rPr>
  </w:style>
  <w:style w:type="character" w:customStyle="1" w:styleId="55">
    <w:name w:val="16广正文"/>
    <w:qFormat/>
    <w:uiPriority w:val="0"/>
    <w:rPr>
      <w:rFonts w:ascii="Times New Roman" w:hAnsi="Times New Roman" w:eastAsia="宋体"/>
      <w:color w:val="000000"/>
      <w:spacing w:val="0"/>
      <w:w w:val="100"/>
      <w:position w:val="0"/>
      <w:sz w:val="24"/>
      <w:szCs w:val="20"/>
      <w:shd w:val="clear" w:color="auto" w:fill="FFFFFF"/>
    </w:rPr>
  </w:style>
  <w:style w:type="paragraph" w:customStyle="1" w:styleId="56">
    <w:name w:val="表头"/>
    <w:next w:val="1"/>
    <w:qFormat/>
    <w:uiPriority w:val="0"/>
    <w:pPr>
      <w:spacing w:line="360" w:lineRule="auto"/>
      <w:jc w:val="center"/>
    </w:pPr>
    <w:rPr>
      <w:rFonts w:ascii="Times New Roman" w:hAnsi="Times New Roman" w:eastAsia="黑体" w:cs="Times New Roman"/>
      <w:sz w:val="24"/>
      <w:szCs w:val="24"/>
      <w:lang w:val="en-US" w:eastAsia="zh-CN" w:bidi="ar-SA"/>
    </w:rPr>
  </w:style>
  <w:style w:type="paragraph" w:customStyle="1" w:styleId="57">
    <w:name w:val="Table Paragraph"/>
    <w:basedOn w:val="1"/>
    <w:qFormat/>
    <w:uiPriority w:val="1"/>
    <w:rPr>
      <w:rFonts w:ascii="宋体" w:hAnsi="宋体" w:cs="宋体"/>
      <w:lang w:val="zh-CN" w:bidi="zh-CN"/>
    </w:rPr>
  </w:style>
  <w:style w:type="paragraph" w:customStyle="1" w:styleId="58">
    <w:name w:val="报告正文"/>
    <w:basedOn w:val="1"/>
    <w:qFormat/>
    <w:uiPriority w:val="0"/>
    <w:pPr>
      <w:autoSpaceDE w:val="0"/>
      <w:autoSpaceDN w:val="0"/>
      <w:spacing w:line="360" w:lineRule="auto"/>
      <w:ind w:firstLine="480" w:firstLineChars="200"/>
      <w:jc w:val="left"/>
    </w:pPr>
    <w:rPr>
      <w:rFonts w:ascii="宋体" w:hAnsi="宋体" w:cs="宋体"/>
      <w:color w:val="000000"/>
      <w:kern w:val="0"/>
      <w:sz w:val="24"/>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MzMjQ5NjExMzk2IiwKCSJHcm91cElkIiA6ICIyNzAyNDk2OTQiLAoJIkltYWdlIiA6ICJpVkJPUncwS0dnb0FBQUFOU1VoRVVnQUFBeDhBQUFFbUNBWUFBQUFEVGkzcEFBQUFDWEJJV1hNQUFBc1RBQUFMRXdFQW1wd1lBQUFnQUVsRVFWUjRuT3pkZVZ5VmRkNy84ZmNCUEdLWm1odHFtcGJObUZrcGtDTGwwcWhVNWxadUdXRS9UYlN4VEZNbnpISk5uZlk3dTF0R0RZTnlDVEgzaFRFR2NobWw4QVp5eXhyUm10ekJGUUhod0RuWDd3K0dhenl4aUhoWWhOZno4ZkFoMTNWOXIrdjZuTVAzNlBVNTMwME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39</Pages>
  <Words>3479</Words>
  <Characters>19836</Characters>
  <Lines>165</Lines>
  <Paragraphs>46</Paragraphs>
  <TotalTime>106</TotalTime>
  <ScaleCrop>false</ScaleCrop>
  <LinksUpToDate>false</LinksUpToDate>
  <CharactersWithSpaces>23269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未定义</cp:lastModifiedBy>
  <cp:lastPrinted>2022-01-19T07:22:00Z</cp:lastPrinted>
  <dcterms:modified xsi:type="dcterms:W3CDTF">2022-02-23T02:57:04Z</dcterms:modified>
  <dc:title>附件2</dc:title>
  <cp:revision>987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3328734A1BB54DEB80BF0D51DC846877</vt:lpwstr>
  </property>
</Properties>
</file>