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firstLine="1325" w:firstLineChars="30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漯河市生态环境局郾城分局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Times New Roman"/>
          <w:b/>
          <w:bCs/>
          <w:sz w:val="44"/>
          <w:szCs w:val="44"/>
          <w:lang w:eastAsia="zh-CN"/>
        </w:rPr>
        <w:t>关于</w:t>
      </w:r>
      <w:r>
        <w:rPr>
          <w:rFonts w:ascii="Times New Roman"/>
          <w:b/>
          <w:bCs/>
          <w:sz w:val="44"/>
          <w:szCs w:val="44"/>
        </w:rPr>
        <w:t>漯河市源项宇玖生物科技有限公司年产</w:t>
      </w:r>
      <w:r>
        <w:rPr>
          <w:rFonts w:ascii="Times New Roman" w:hAnsi="Times New Roman"/>
          <w:b/>
          <w:bCs/>
          <w:sz w:val="44"/>
          <w:szCs w:val="44"/>
        </w:rPr>
        <w:t>5000</w:t>
      </w:r>
      <w:r>
        <w:rPr>
          <w:rFonts w:ascii="Times New Roman"/>
          <w:b/>
          <w:bCs/>
          <w:sz w:val="44"/>
          <w:szCs w:val="44"/>
        </w:rPr>
        <w:t>万支食品用塑料容器项目</w:t>
      </w:r>
      <w:r>
        <w:rPr>
          <w:rFonts w:hint="eastAsia" w:ascii="宋体" w:hAnsi="宋体" w:eastAsia="宋体" w:cs="宋体"/>
          <w:b/>
          <w:bCs/>
          <w:color w:val="000000"/>
          <w:kern w:val="0"/>
          <w:sz w:val="44"/>
          <w:szCs w:val="44"/>
          <w:lang w:eastAsia="zh-CN"/>
        </w:rPr>
        <w:t>环</w:t>
      </w:r>
      <w:r>
        <w:rPr>
          <w:rFonts w:hint="eastAsia" w:ascii="宋体" w:hAnsi="宋体" w:eastAsia="宋体" w:cs="宋体"/>
          <w:b/>
          <w:bCs/>
          <w:kern w:val="2"/>
          <w:sz w:val="44"/>
          <w:szCs w:val="44"/>
          <w:lang w:val="en-US" w:eastAsia="zh-CN" w:bidi="ar-SA"/>
        </w:rPr>
        <w:t>境影响报告表的批复</w:t>
      </w:r>
    </w:p>
    <w:p>
      <w:pPr>
        <w:spacing w:line="360" w:lineRule="auto"/>
        <w:ind w:firstLine="2560" w:firstLineChars="800"/>
        <w:jc w:val="both"/>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郾环监表﹝2023﹞25号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color w:val="auto"/>
          <w:sz w:val="32"/>
          <w:szCs w:val="32"/>
          <w:lang w:eastAsia="zh-CN"/>
        </w:rPr>
      </w:pPr>
      <w:r>
        <w:rPr>
          <w:rFonts w:hint="eastAsia" w:ascii="宋体" w:hAnsi="宋体" w:eastAsia="宋体" w:cs="宋体"/>
          <w:color w:val="auto"/>
          <w:sz w:val="32"/>
          <w:szCs w:val="32"/>
          <w:lang w:eastAsia="zh-CN"/>
        </w:rPr>
        <w:t>漯河市源项宇玖生物科技有限公司</w:t>
      </w:r>
      <w:r>
        <w:rPr>
          <w:rFonts w:hint="eastAsia" w:ascii="Times New Roman" w:hAnsi="Times New Roman" w:cs="Times New Roman"/>
          <w:color w:val="auto"/>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（统一社会信用代码91411103MA9FGULD6H）上报的由</w:t>
      </w:r>
      <w:r>
        <w:rPr>
          <w:rFonts w:hint="eastAsia" w:ascii="宋体" w:hAnsi="宋体" w:eastAsia="宋体" w:cs="宋体"/>
          <w:color w:val="000000"/>
          <w:kern w:val="0"/>
          <w:sz w:val="32"/>
          <w:szCs w:val="32"/>
        </w:rPr>
        <w:t>河南九州环保工程有限公司</w:t>
      </w:r>
      <w:r>
        <w:rPr>
          <w:rFonts w:hint="eastAsia" w:ascii="宋体" w:hAnsi="宋体" w:eastAsia="宋体" w:cs="宋体"/>
          <w:sz w:val="32"/>
          <w:szCs w:val="32"/>
          <w:lang w:val="en-US" w:eastAsia="zh-CN"/>
        </w:rPr>
        <w:t>编制的《</w:t>
      </w:r>
      <w:r>
        <w:rPr>
          <w:rFonts w:ascii="Times New Roman"/>
          <w:sz w:val="32"/>
          <w:szCs w:val="32"/>
        </w:rPr>
        <w:t>漯河市源项宇玖生物科技有限公司年产</w:t>
      </w:r>
      <w:r>
        <w:rPr>
          <w:rFonts w:ascii="Times New Roman" w:hAnsi="Times New Roman"/>
          <w:sz w:val="32"/>
          <w:szCs w:val="32"/>
        </w:rPr>
        <w:t>5000</w:t>
      </w:r>
      <w:r>
        <w:rPr>
          <w:rFonts w:ascii="Times New Roman"/>
          <w:sz w:val="32"/>
          <w:szCs w:val="32"/>
        </w:rPr>
        <w:t>万支食品用塑料容器项目</w:t>
      </w:r>
      <w:r>
        <w:rPr>
          <w:rFonts w:hint="eastAsia" w:ascii="宋体" w:hAnsi="宋体" w:eastAsia="宋体" w:cs="宋体"/>
          <w:b w:val="0"/>
          <w:bCs w:val="0"/>
          <w:color w:val="000000"/>
          <w:kern w:val="0"/>
          <w:sz w:val="32"/>
          <w:szCs w:val="32"/>
          <w:lang w:eastAsia="zh-CN"/>
        </w:rPr>
        <w:t>环</w:t>
      </w:r>
      <w:r>
        <w:rPr>
          <w:rFonts w:hint="eastAsia" w:ascii="宋体" w:hAnsi="宋体" w:eastAsia="宋体" w:cs="宋体"/>
          <w:b w:val="0"/>
          <w:bCs w:val="0"/>
          <w:kern w:val="2"/>
          <w:sz w:val="32"/>
          <w:szCs w:val="32"/>
          <w:lang w:val="en-US" w:eastAsia="zh-CN" w:bidi="ar-SA"/>
        </w:rPr>
        <w:t>境影响报告表</w:t>
      </w:r>
      <w:r>
        <w:rPr>
          <w:rFonts w:hint="eastAsia" w:ascii="宋体" w:hAnsi="宋体" w:eastAsia="宋体" w:cs="宋体"/>
          <w:sz w:val="32"/>
          <w:szCs w:val="32"/>
          <w:lang w:val="en-US" w:eastAsia="zh-CN"/>
        </w:rPr>
        <w:t>》(以下简称《报告表》）收悉，该项目已在郾城区政府网站公示期满。经研究，批复如下：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位于漯河市郾城区龙江路与白云山路交叉口向西500米路北。《报告表》内容符合国家相关法律法规要求和建设项目环境管理规定，评价结论可信。我局批准该《报告表》，原则同意你单位按照《报告表》中所列项目的性质、地点、规模、工艺和环境保护对策措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应主动向社会公众公开经批准的《报告表》，并接受相关方的咨询。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三、你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应全面落实《报告表》提出的各项环保对策措施，确保各项环境保护设施达到环评各项要求，并与主体工程同时设计、同时施工、同时投入使用，确保各项污染物达标排放。项目</w:t>
      </w:r>
      <w:r>
        <w:rPr>
          <w:rFonts w:hint="eastAsia" w:ascii="宋体" w:hAnsi="宋体" w:eastAsia="宋体" w:cs="宋体"/>
          <w:sz w:val="32"/>
          <w:szCs w:val="32"/>
        </w:rPr>
        <w:t>竣工后，应及时组织开展环保验收。</w:t>
      </w:r>
    </w:p>
    <w:p>
      <w:pPr>
        <w:ind w:firstLine="480"/>
        <w:rPr>
          <w:rFonts w:hint="eastAsia" w:ascii="宋体" w:hAnsi="宋体" w:eastAsia="宋体" w:cs="宋体"/>
          <w:color w:val="000000"/>
          <w:sz w:val="32"/>
          <w:szCs w:val="32"/>
        </w:rPr>
      </w:pPr>
      <w:r>
        <w:rPr>
          <w:rFonts w:hint="eastAsia" w:ascii="宋体" w:hAnsi="宋体" w:eastAsia="宋体" w:cs="宋体"/>
          <w:b/>
          <w:sz w:val="32"/>
          <w:szCs w:val="32"/>
          <w:lang w:val="en-US" w:eastAsia="zh-CN"/>
        </w:rPr>
        <w:t>1、</w:t>
      </w:r>
      <w:r>
        <w:rPr>
          <w:rFonts w:hint="eastAsia" w:ascii="宋体" w:hAnsi="宋体" w:eastAsia="宋体" w:cs="宋体"/>
          <w:b/>
          <w:sz w:val="32"/>
          <w:szCs w:val="32"/>
        </w:rPr>
        <w:t>废水：</w:t>
      </w:r>
      <w:r>
        <w:rPr>
          <w:rFonts w:hint="eastAsia" w:ascii="宋体" w:hAnsi="宋体" w:eastAsia="宋体" w:cs="宋体"/>
          <w:sz w:val="32"/>
          <w:szCs w:val="32"/>
        </w:rPr>
        <w:t>项目职工生活污水依托现有化粪池</w:t>
      </w:r>
      <w:r>
        <w:rPr>
          <w:rFonts w:hint="eastAsia" w:ascii="宋体" w:hAnsi="宋体" w:eastAsia="宋体" w:cs="宋体"/>
          <w:bCs/>
          <w:sz w:val="32"/>
          <w:szCs w:val="32"/>
        </w:rPr>
        <w:t>（10m</w:t>
      </w:r>
      <w:r>
        <w:rPr>
          <w:rFonts w:hint="eastAsia" w:ascii="宋体" w:hAnsi="宋体" w:eastAsia="宋体" w:cs="宋体"/>
          <w:bCs/>
          <w:sz w:val="32"/>
          <w:szCs w:val="32"/>
          <w:vertAlign w:val="superscript"/>
        </w:rPr>
        <w:t>3</w:t>
      </w:r>
      <w:r>
        <w:rPr>
          <w:rFonts w:hint="eastAsia" w:ascii="宋体" w:hAnsi="宋体" w:eastAsia="宋体" w:cs="宋体"/>
          <w:bCs/>
          <w:sz w:val="32"/>
          <w:szCs w:val="32"/>
        </w:rPr>
        <w:t>）</w:t>
      </w:r>
      <w:r>
        <w:rPr>
          <w:rFonts w:hint="eastAsia" w:ascii="宋体" w:hAnsi="宋体" w:eastAsia="宋体" w:cs="宋体"/>
          <w:sz w:val="32"/>
          <w:szCs w:val="32"/>
        </w:rPr>
        <w:t>处理后，经市政管网排入漯河市淞江污水处理厂深度处理后外排</w:t>
      </w:r>
      <w:r>
        <w:rPr>
          <w:rFonts w:hint="eastAsia" w:ascii="宋体" w:hAnsi="宋体" w:eastAsia="宋体" w:cs="宋体"/>
          <w:color w:val="000000"/>
          <w:sz w:val="32"/>
          <w:szCs w:val="32"/>
        </w:rPr>
        <w:t>，对周围地表水环境影响较小。</w:t>
      </w:r>
    </w:p>
    <w:p>
      <w:pPr>
        <w:snapToGrid w:val="0"/>
        <w:spacing w:line="360" w:lineRule="auto"/>
        <w:ind w:firstLine="643" w:firstLineChars="200"/>
        <w:rPr>
          <w:rFonts w:hint="eastAsia" w:ascii="宋体" w:hAnsi="宋体" w:eastAsia="宋体" w:cs="宋体"/>
          <w:bCs/>
          <w:sz w:val="32"/>
          <w:szCs w:val="32"/>
        </w:rPr>
      </w:pPr>
      <w:r>
        <w:rPr>
          <w:rFonts w:hint="eastAsia" w:ascii="宋体" w:hAnsi="宋体" w:eastAsia="宋体" w:cs="宋体"/>
          <w:b/>
          <w:sz w:val="32"/>
          <w:szCs w:val="32"/>
          <w:lang w:val="en-US" w:eastAsia="zh-CN"/>
        </w:rPr>
        <w:t>2、</w:t>
      </w:r>
      <w:r>
        <w:rPr>
          <w:rFonts w:hint="eastAsia" w:ascii="宋体" w:hAnsi="宋体" w:eastAsia="宋体" w:cs="宋体"/>
          <w:b/>
          <w:sz w:val="32"/>
          <w:szCs w:val="32"/>
        </w:rPr>
        <w:t>废气：</w:t>
      </w:r>
      <w:r>
        <w:rPr>
          <w:rFonts w:hint="eastAsia" w:ascii="宋体" w:hAnsi="宋体" w:eastAsia="宋体" w:cs="宋体"/>
          <w:bCs/>
          <w:sz w:val="32"/>
          <w:szCs w:val="32"/>
        </w:rPr>
        <w:t>本项目各生产工序产生的有机废气经集气罩收集后经1套UV光氧催化装置+1套活性炭装置处理达标后，经1根15m排气筒排放</w:t>
      </w:r>
      <w:r>
        <w:rPr>
          <w:rFonts w:hint="eastAsia" w:ascii="宋体" w:hAnsi="宋体" w:eastAsia="宋体" w:cs="宋体"/>
          <w:color w:val="000000"/>
          <w:sz w:val="32"/>
          <w:szCs w:val="32"/>
        </w:rPr>
        <w:t>，排放浓度</w:t>
      </w:r>
      <w:r>
        <w:rPr>
          <w:rFonts w:hint="eastAsia" w:ascii="宋体" w:hAnsi="宋体" w:eastAsia="宋体" w:cs="宋体"/>
          <w:bCs/>
          <w:color w:val="000000"/>
          <w:sz w:val="32"/>
          <w:szCs w:val="32"/>
        </w:rPr>
        <w:t>满足</w:t>
      </w:r>
      <w:r>
        <w:rPr>
          <w:rFonts w:hint="eastAsia" w:ascii="宋体" w:hAnsi="宋体" w:eastAsia="宋体" w:cs="宋体"/>
          <w:sz w:val="32"/>
          <w:szCs w:val="32"/>
        </w:rPr>
        <w:t>《合成树脂工业</w:t>
      </w:r>
      <w:r>
        <w:rPr>
          <w:rFonts w:hint="eastAsia" w:ascii="宋体" w:hAnsi="宋体" w:eastAsia="宋体" w:cs="宋体"/>
          <w:bCs/>
          <w:sz w:val="32"/>
          <w:szCs w:val="32"/>
        </w:rPr>
        <w:t>污染物排放标准</w:t>
      </w:r>
      <w:r>
        <w:rPr>
          <w:rFonts w:hint="eastAsia" w:ascii="宋体" w:hAnsi="宋体" w:eastAsia="宋体" w:cs="宋体"/>
          <w:sz w:val="32"/>
          <w:szCs w:val="32"/>
        </w:rPr>
        <w:t>》</w:t>
      </w:r>
      <w:r>
        <w:rPr>
          <w:rFonts w:hint="eastAsia" w:ascii="宋体" w:hAnsi="宋体" w:eastAsia="宋体" w:cs="宋体"/>
          <w:bCs/>
          <w:sz w:val="32"/>
          <w:szCs w:val="32"/>
        </w:rPr>
        <w:t>（GB31572-2015）表5特别排放限值（60</w:t>
      </w:r>
      <w:r>
        <w:rPr>
          <w:rFonts w:hint="eastAsia" w:ascii="宋体" w:hAnsi="宋体" w:eastAsia="宋体" w:cs="宋体"/>
          <w:sz w:val="32"/>
          <w:szCs w:val="32"/>
        </w:rPr>
        <w:t>mg/m</w:t>
      </w:r>
      <w:r>
        <w:rPr>
          <w:rFonts w:hint="eastAsia" w:ascii="宋体" w:hAnsi="宋体" w:eastAsia="宋体" w:cs="宋体"/>
          <w:sz w:val="32"/>
          <w:szCs w:val="32"/>
          <w:vertAlign w:val="superscript"/>
        </w:rPr>
        <w:t>3</w:t>
      </w:r>
      <w:r>
        <w:rPr>
          <w:rFonts w:hint="eastAsia" w:ascii="宋体" w:hAnsi="宋体" w:eastAsia="宋体" w:cs="宋体"/>
          <w:bCs/>
          <w:sz w:val="32"/>
          <w:szCs w:val="32"/>
        </w:rPr>
        <w:t>）</w:t>
      </w:r>
      <w:r>
        <w:rPr>
          <w:rFonts w:hint="eastAsia" w:ascii="宋体" w:hAnsi="宋体" w:eastAsia="宋体" w:cs="宋体"/>
          <w:sz w:val="32"/>
          <w:szCs w:val="32"/>
        </w:rPr>
        <w:t>及</w:t>
      </w:r>
      <w:r>
        <w:rPr>
          <w:rFonts w:hint="eastAsia" w:ascii="宋体" w:hAnsi="宋体" w:eastAsia="宋体" w:cs="宋体"/>
          <w:bCs/>
          <w:sz w:val="32"/>
          <w:szCs w:val="32"/>
        </w:rPr>
        <w:t>《</w:t>
      </w:r>
      <w:r>
        <w:rPr>
          <w:rFonts w:hint="eastAsia" w:ascii="宋体" w:hAnsi="宋体" w:eastAsia="宋体" w:cs="宋体"/>
          <w:bCs/>
          <w:color w:val="000000"/>
          <w:sz w:val="32"/>
          <w:szCs w:val="32"/>
        </w:rPr>
        <w:t>关于全省开展工业企业挥发性有机物专项治理工作中排放建议值的通知》（豫环攻坚办〔2017〕162号）中“其他行业有机废气排放口非甲烷总烃建议排放浓度≤80mg/m</w:t>
      </w:r>
      <w:r>
        <w:rPr>
          <w:rFonts w:hint="eastAsia" w:ascii="宋体" w:hAnsi="宋体" w:eastAsia="宋体" w:cs="宋体"/>
          <w:bCs/>
          <w:color w:val="000000"/>
          <w:sz w:val="32"/>
          <w:szCs w:val="32"/>
          <w:vertAlign w:val="superscript"/>
        </w:rPr>
        <w:t>3</w:t>
      </w:r>
      <w:r>
        <w:rPr>
          <w:rFonts w:hint="eastAsia" w:ascii="宋体" w:hAnsi="宋体" w:eastAsia="宋体" w:cs="宋体"/>
          <w:bCs/>
          <w:color w:val="000000"/>
          <w:sz w:val="32"/>
          <w:szCs w:val="32"/>
        </w:rPr>
        <w:t>（建议去除率70%）”的要求以及</w:t>
      </w:r>
      <w:r>
        <w:rPr>
          <w:rFonts w:hint="eastAsia" w:ascii="宋体" w:hAnsi="宋体" w:eastAsia="宋体" w:cs="宋体"/>
          <w:bCs/>
          <w:sz w:val="32"/>
          <w:szCs w:val="32"/>
        </w:rPr>
        <w:t>《河南省重污染天气重点行业应急减排措施制定技术指南（2021 年修订版）》中塑料制品行业非甲烷总烃排放浓度10mg/m</w:t>
      </w:r>
      <w:r>
        <w:rPr>
          <w:rFonts w:hint="eastAsia" w:ascii="宋体" w:hAnsi="宋体" w:eastAsia="宋体" w:cs="宋体"/>
          <w:bCs/>
          <w:sz w:val="32"/>
          <w:szCs w:val="32"/>
          <w:vertAlign w:val="superscript"/>
        </w:rPr>
        <w:t>3</w:t>
      </w:r>
      <w:r>
        <w:rPr>
          <w:rFonts w:hint="eastAsia" w:ascii="宋体" w:hAnsi="宋体" w:eastAsia="宋体" w:cs="宋体"/>
          <w:bCs/>
          <w:sz w:val="32"/>
          <w:szCs w:val="32"/>
        </w:rPr>
        <w:t>、去除效率80%要求</w:t>
      </w:r>
      <w:r>
        <w:rPr>
          <w:rFonts w:hint="eastAsia" w:ascii="宋体" w:hAnsi="宋体" w:eastAsia="宋体" w:cs="宋体"/>
          <w:bCs/>
          <w:color w:val="000000"/>
          <w:sz w:val="32"/>
          <w:szCs w:val="32"/>
        </w:rPr>
        <w:t>。</w:t>
      </w:r>
      <w:r>
        <w:rPr>
          <w:rFonts w:hint="eastAsia" w:ascii="宋体" w:hAnsi="宋体" w:eastAsia="宋体" w:cs="宋体"/>
          <w:bCs/>
          <w:sz w:val="32"/>
          <w:szCs w:val="32"/>
        </w:rPr>
        <w:t>综上，本项目废气经采取相应的处理措施后均能够达标排放，对周围环境及附近敏感点影响较小。</w:t>
      </w:r>
    </w:p>
    <w:p>
      <w:pPr>
        <w:ind w:firstLine="643" w:firstLineChars="200"/>
        <w:rPr>
          <w:rFonts w:hint="eastAsia" w:ascii="宋体" w:hAnsi="宋体" w:eastAsia="宋体" w:cs="宋体"/>
          <w:sz w:val="32"/>
          <w:szCs w:val="32"/>
        </w:rPr>
      </w:pPr>
      <w:r>
        <w:rPr>
          <w:rFonts w:hint="eastAsia" w:ascii="宋体" w:hAnsi="宋体" w:eastAsia="宋体" w:cs="宋体"/>
          <w:b/>
          <w:sz w:val="32"/>
          <w:szCs w:val="32"/>
          <w:lang w:val="en-US" w:eastAsia="zh-CN"/>
        </w:rPr>
        <w:t>3、</w:t>
      </w:r>
      <w:r>
        <w:rPr>
          <w:rFonts w:hint="eastAsia" w:ascii="宋体" w:hAnsi="宋体" w:eastAsia="宋体" w:cs="宋体"/>
          <w:b/>
          <w:sz w:val="32"/>
          <w:szCs w:val="32"/>
        </w:rPr>
        <w:t>噪声：</w:t>
      </w:r>
      <w:r>
        <w:rPr>
          <w:rFonts w:hint="eastAsia" w:ascii="宋体" w:hAnsi="宋体" w:eastAsia="宋体" w:cs="宋体"/>
          <w:bCs/>
          <w:sz w:val="32"/>
          <w:szCs w:val="32"/>
        </w:rPr>
        <w:t>本项目噪声主要为</w:t>
      </w:r>
      <w:r>
        <w:rPr>
          <w:rFonts w:hint="eastAsia" w:ascii="宋体" w:hAnsi="宋体" w:eastAsia="宋体" w:cs="宋体"/>
          <w:sz w:val="32"/>
          <w:szCs w:val="32"/>
        </w:rPr>
        <w:t>设备运行</w:t>
      </w:r>
      <w:r>
        <w:rPr>
          <w:rFonts w:hint="eastAsia" w:ascii="宋体" w:hAnsi="宋体" w:eastAsia="宋体" w:cs="宋体"/>
          <w:bCs/>
          <w:sz w:val="32"/>
          <w:szCs w:val="32"/>
        </w:rPr>
        <w:t>产生的机械噪声，经采取防治措施及距离衰减后，厂界噪声符合《工业企业厂界环境噪声排放标准》（GB12348-2008）3类标准要求</w:t>
      </w:r>
      <w:r>
        <w:rPr>
          <w:rFonts w:hint="eastAsia" w:ascii="宋体" w:hAnsi="宋体" w:eastAsia="宋体" w:cs="宋体"/>
          <w:bCs/>
          <w:color w:val="000000"/>
          <w:sz w:val="32"/>
          <w:szCs w:val="32"/>
        </w:rPr>
        <w:t>，</w:t>
      </w:r>
      <w:r>
        <w:rPr>
          <w:rFonts w:hint="eastAsia" w:ascii="宋体" w:hAnsi="宋体" w:eastAsia="宋体" w:cs="宋体"/>
          <w:sz w:val="32"/>
          <w:szCs w:val="32"/>
        </w:rPr>
        <w:t>对周围声环境影响较小。</w:t>
      </w:r>
    </w:p>
    <w:p>
      <w:pPr>
        <w:ind w:firstLine="643" w:firstLineChars="200"/>
        <w:rPr>
          <w:rFonts w:hint="eastAsia" w:ascii="宋体" w:hAnsi="宋体" w:eastAsia="宋体" w:cs="宋体"/>
          <w:bCs/>
          <w:sz w:val="32"/>
          <w:szCs w:val="32"/>
        </w:rPr>
      </w:pPr>
      <w:r>
        <w:rPr>
          <w:rFonts w:hint="eastAsia" w:ascii="宋体" w:hAnsi="宋体" w:eastAsia="宋体" w:cs="宋体"/>
          <w:b/>
          <w:sz w:val="32"/>
          <w:szCs w:val="32"/>
          <w:lang w:val="en-US" w:eastAsia="zh-CN"/>
        </w:rPr>
        <w:t>4、</w:t>
      </w:r>
      <w:r>
        <w:rPr>
          <w:rFonts w:hint="eastAsia" w:ascii="宋体" w:hAnsi="宋体" w:eastAsia="宋体" w:cs="宋体"/>
          <w:b/>
          <w:sz w:val="32"/>
          <w:szCs w:val="32"/>
        </w:rPr>
        <w:t>固废：</w:t>
      </w:r>
      <w:r>
        <w:rPr>
          <w:rFonts w:hint="eastAsia" w:ascii="宋体" w:hAnsi="宋体" w:eastAsia="宋体" w:cs="宋体"/>
          <w:sz w:val="32"/>
          <w:szCs w:val="32"/>
        </w:rPr>
        <w:t>设置1座15m</w:t>
      </w:r>
      <w:r>
        <w:rPr>
          <w:rFonts w:hint="eastAsia" w:ascii="宋体" w:hAnsi="宋体" w:eastAsia="宋体" w:cs="宋体"/>
          <w:sz w:val="32"/>
          <w:szCs w:val="32"/>
          <w:vertAlign w:val="superscript"/>
        </w:rPr>
        <w:t>2</w:t>
      </w:r>
      <w:r>
        <w:rPr>
          <w:rFonts w:hint="eastAsia" w:ascii="宋体" w:hAnsi="宋体" w:eastAsia="宋体" w:cs="宋体"/>
          <w:kern w:val="0"/>
          <w:sz w:val="32"/>
          <w:szCs w:val="32"/>
        </w:rPr>
        <w:t>一般固废暂存间，废包装材料及不合格品经收集暂存外售综合利用；职工生活垃圾收集后由环卫部门定期清运处理。</w:t>
      </w:r>
      <w:r>
        <w:rPr>
          <w:rFonts w:hint="eastAsia" w:ascii="宋体" w:hAnsi="宋体" w:eastAsia="宋体" w:cs="宋体"/>
          <w:color w:val="000000"/>
          <w:sz w:val="32"/>
          <w:szCs w:val="32"/>
        </w:rPr>
        <w:t>设置1座5m</w:t>
      </w:r>
      <w:r>
        <w:rPr>
          <w:rFonts w:hint="eastAsia" w:ascii="宋体" w:hAnsi="宋体" w:eastAsia="宋体" w:cs="宋体"/>
          <w:color w:val="000000"/>
          <w:sz w:val="32"/>
          <w:szCs w:val="32"/>
          <w:vertAlign w:val="superscript"/>
        </w:rPr>
        <w:t>2</w:t>
      </w:r>
      <w:r>
        <w:rPr>
          <w:rFonts w:hint="eastAsia" w:ascii="宋体" w:hAnsi="宋体" w:eastAsia="宋体" w:cs="宋体"/>
          <w:color w:val="000000"/>
          <w:sz w:val="32"/>
          <w:szCs w:val="32"/>
        </w:rPr>
        <w:t>危废暂存间，</w:t>
      </w:r>
      <w:r>
        <w:rPr>
          <w:rFonts w:hint="eastAsia" w:ascii="宋体" w:hAnsi="宋体" w:eastAsia="宋体" w:cs="宋体"/>
          <w:sz w:val="32"/>
          <w:szCs w:val="32"/>
        </w:rPr>
        <w:t>废UV灯管及废活性炭采用密闭容器收集暂存后于危废暂存间。</w:t>
      </w:r>
      <w:r>
        <w:rPr>
          <w:rFonts w:hint="eastAsia" w:ascii="宋体" w:hAnsi="宋体" w:eastAsia="宋体" w:cs="宋体"/>
          <w:bCs/>
          <w:sz w:val="32"/>
          <w:szCs w:val="32"/>
        </w:rPr>
        <w:t>本项目固体废物处置率100%，满足一般固体废物执行《一般工业固体废物贮存和填埋污染控制标准》（GB18599 -2020)要求及</w:t>
      </w:r>
      <w:r>
        <w:rPr>
          <w:rFonts w:hint="eastAsia" w:ascii="宋体" w:hAnsi="宋体" w:eastAsia="宋体" w:cs="宋体"/>
          <w:sz w:val="32"/>
          <w:szCs w:val="32"/>
        </w:rPr>
        <w:t>《危险废物贮存污染控制标准》（GBl8597-2023）要求</w:t>
      </w:r>
      <w:r>
        <w:rPr>
          <w:rFonts w:hint="eastAsia" w:ascii="宋体" w:hAnsi="宋体" w:eastAsia="宋体" w:cs="宋体"/>
          <w:bCs/>
          <w:sz w:val="32"/>
          <w:szCs w:val="32"/>
        </w:rPr>
        <w:t>，对周围环境影响不大。</w:t>
      </w:r>
    </w:p>
    <w:p>
      <w:pPr>
        <w:ind w:firstLine="420" w:firstLineChars="200"/>
        <w:rPr>
          <w:rFonts w:ascii="Times New Roman" w:hAnsi="Times New Roman"/>
          <w:color w:val="FF0000"/>
          <w:sz w:val="21"/>
          <w:szCs w:val="21"/>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四、本批复有效期为5年。如该项目逾期方开工建设，其环境影响报告表应报我局重新审核。建设项目的性质、规模、地点、或者防治污染、防止生态破坏的措施发生重大变动的，建设单位应当重新报批建设项目的环境影响评价文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五、本项目日常环境监督管理工作由漯河市生态环境局行政执法支队郾城区大队负责，并对项目环境保护执行情况进行现场监察。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388" w:firstLineChars="1684"/>
        <w:textAlignment w:val="auto"/>
        <w:rPr>
          <w:rFonts w:hint="default" w:ascii="宋体" w:hAnsi="宋体" w:eastAsia="宋体" w:cs="宋体"/>
          <w:kern w:val="2"/>
          <w:sz w:val="32"/>
          <w:szCs w:val="32"/>
          <w:lang w:val="en-US" w:eastAsia="zh-CN" w:bidi="ar-SA"/>
        </w:rPr>
      </w:pPr>
      <w:r>
        <w:rPr>
          <w:rFonts w:hint="eastAsia" w:eastAsia="宋体" w:cs="宋体"/>
          <w:kern w:val="2"/>
          <w:sz w:val="32"/>
          <w:szCs w:val="32"/>
          <w:lang w:val="en-US" w:eastAsia="zh-CN" w:bidi="ar-SA"/>
        </w:rPr>
        <w:t>2023年11月20日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FlNDBjNWZlZGJkYjNmYTQ3OWNlMzgyOWM1ZDMifQ=="/>
  </w:docVars>
  <w:rsids>
    <w:rsidRoot w:val="30130D20"/>
    <w:rsid w:val="30130D20"/>
    <w:rsid w:val="5765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0"/>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autoSpaceDE w:val="0"/>
      <w:autoSpaceDN w:val="0"/>
      <w:adjustRightInd w:val="0"/>
      <w:spacing w:before="1" w:line="537" w:lineRule="exact"/>
      <w:ind w:left="88" w:right="6"/>
    </w:pPr>
    <w:rPr>
      <w:kern w:val="0"/>
      <w:sz w:val="28"/>
      <w:szCs w:val="20"/>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2023-11-20T06:24:00Z</dcterms:created>
  <dc:creator>兵华</dc:creator>
  <cp:lastModifiedBy>兵华</cp:lastModifiedBy>
  <dcterms:modified xsi:type="dcterms:W3CDTF">2023-11-22T00:49:10Z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3F79180AA70D4DE9896BF90EBCA5A80E_11</vt:lpwstr>
  </property>
</Properties>
</file>