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20" w:lineRule="exact"/>
        <w:ind w:right="0" w:rightChars="0" w:firstLine="1325" w:firstLineChars="300"/>
        <w:jc w:val="both"/>
        <w:textAlignment w:val="auto"/>
        <w:outlineLvl w:val="9"/>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漯河市生态环境局郾城分局</w:t>
      </w:r>
    </w:p>
    <w:p>
      <w:pPr>
        <w:keepNext w:val="0"/>
        <w:keepLines w:val="0"/>
        <w:pageBreakBefore w:val="0"/>
        <w:widowControl w:val="0"/>
        <w:kinsoku/>
        <w:wordWrap/>
        <w:overflowPunct/>
        <w:topLinePunct w:val="0"/>
        <w:autoSpaceDE/>
        <w:autoSpaceDN/>
        <w:bidi w:val="0"/>
        <w:adjustRightInd/>
        <w:snapToGrid/>
        <w:spacing w:line="520" w:lineRule="exact"/>
        <w:ind w:right="0" w:rightChars="0"/>
        <w:jc w:val="both"/>
        <w:textAlignment w:val="auto"/>
        <w:outlineLvl w:val="9"/>
        <w:rPr>
          <w:rFonts w:hint="eastAsia" w:ascii="宋体" w:hAnsi="宋体" w:eastAsia="宋体" w:cs="宋体"/>
          <w:b/>
          <w:bCs/>
          <w:kern w:val="2"/>
          <w:sz w:val="44"/>
          <w:szCs w:val="44"/>
          <w:lang w:val="en-US" w:eastAsia="zh-CN" w:bidi="ar-SA"/>
        </w:rPr>
      </w:pPr>
      <w:r>
        <w:rPr>
          <w:rFonts w:hint="eastAsia" w:ascii="Times New Roman"/>
          <w:b/>
          <w:bCs/>
          <w:sz w:val="44"/>
          <w:szCs w:val="44"/>
          <w:lang w:eastAsia="zh-CN"/>
        </w:rPr>
        <w:t>关于</w:t>
      </w:r>
      <w:r>
        <w:rPr>
          <w:rFonts w:hint="eastAsia" w:ascii="Times New Roman" w:hAnsi="Times New Roman" w:eastAsia="宋体" w:cs="Times New Roman"/>
          <w:b/>
          <w:bCs/>
          <w:color w:val="333333"/>
          <w:kern w:val="2"/>
          <w:sz w:val="44"/>
          <w:szCs w:val="44"/>
          <w:lang w:val="en-US" w:eastAsia="zh-CN" w:bidi="ar"/>
        </w:rPr>
        <w:t>河南益恒源生物科技有限公司年产1万吨塔格糖建设项目</w:t>
      </w:r>
      <w:r>
        <w:rPr>
          <w:rFonts w:hint="eastAsia" w:ascii="宋体" w:hAnsi="宋体" w:eastAsia="宋体" w:cs="宋体"/>
          <w:b/>
          <w:bCs/>
          <w:color w:val="000000"/>
          <w:kern w:val="0"/>
          <w:sz w:val="44"/>
          <w:szCs w:val="44"/>
          <w:lang w:eastAsia="zh-CN"/>
        </w:rPr>
        <w:t>环</w:t>
      </w:r>
      <w:r>
        <w:rPr>
          <w:rFonts w:hint="eastAsia" w:ascii="宋体" w:hAnsi="宋体" w:eastAsia="宋体" w:cs="宋体"/>
          <w:b/>
          <w:bCs/>
          <w:kern w:val="2"/>
          <w:sz w:val="44"/>
          <w:szCs w:val="44"/>
          <w:lang w:val="en-US" w:eastAsia="zh-CN" w:bidi="ar-SA"/>
        </w:rPr>
        <w:t>境影响报告表的批复</w:t>
      </w:r>
    </w:p>
    <w:p>
      <w:pPr>
        <w:spacing w:line="360" w:lineRule="auto"/>
        <w:ind w:firstLine="2560" w:firstLineChars="800"/>
        <w:jc w:val="both"/>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郾环监表﹝2024﹞10号</w:t>
      </w:r>
    </w:p>
    <w:p>
      <w:pPr>
        <w:spacing w:line="360" w:lineRule="auto"/>
        <w:jc w:val="both"/>
        <w:rPr>
          <w:rFonts w:hint="eastAsia" w:ascii="宋体" w:hAnsi="宋体" w:eastAsia="宋体" w:cs="宋体"/>
          <w:color w:val="auto"/>
          <w:sz w:val="32"/>
          <w:szCs w:val="32"/>
          <w:lang w:eastAsia="zh-CN"/>
        </w:rPr>
      </w:pPr>
      <w:r>
        <w:rPr>
          <w:rFonts w:hint="eastAsia" w:ascii="宋体" w:hAnsi="宋体" w:eastAsia="宋体" w:cs="宋体"/>
          <w:color w:val="auto"/>
          <w:sz w:val="32"/>
          <w:szCs w:val="32"/>
          <w:lang w:eastAsia="zh-CN"/>
        </w:rPr>
        <w:t>河南益恒源生物科技有限公司：</w:t>
      </w:r>
    </w:p>
    <w:p>
      <w:pPr>
        <w:spacing w:line="360" w:lineRule="auto"/>
        <w:ind w:firstLine="640" w:firstLineChars="200"/>
        <w:jc w:val="both"/>
        <w:rPr>
          <w:rFonts w:hint="eastAsia" w:ascii="宋体" w:hAnsi="宋体" w:eastAsia="宋体" w:cs="宋体"/>
          <w:sz w:val="32"/>
          <w:szCs w:val="32"/>
          <w:lang w:val="en-US" w:eastAsia="zh-CN"/>
        </w:rPr>
      </w:pPr>
      <w:r>
        <w:rPr>
          <w:rFonts w:hint="eastAsia" w:ascii="宋体" w:hAnsi="宋体" w:eastAsia="宋体" w:cs="宋体"/>
          <w:color w:val="auto"/>
          <w:sz w:val="32"/>
          <w:szCs w:val="32"/>
          <w:lang w:eastAsia="zh-CN"/>
        </w:rPr>
        <w:t>你公司</w:t>
      </w:r>
      <w:r>
        <w:rPr>
          <w:rFonts w:hint="eastAsia" w:ascii="宋体" w:hAnsi="宋体" w:eastAsia="宋体" w:cs="宋体"/>
          <w:sz w:val="32"/>
          <w:szCs w:val="32"/>
          <w:lang w:val="en-US" w:eastAsia="zh-CN"/>
        </w:rPr>
        <w:t>（统一社会信用代码91411100MA480BJ88B）上报的由</w:t>
      </w:r>
      <w:r>
        <w:rPr>
          <w:rFonts w:hint="default" w:ascii="Times New Roman" w:hAnsi="Times New Roman" w:eastAsia="宋体" w:cs="Times New Roman"/>
          <w:b w:val="0"/>
          <w:bCs w:val="0"/>
          <w:color w:val="auto"/>
          <w:sz w:val="32"/>
          <w:szCs w:val="32"/>
          <w:lang w:val="en-US" w:eastAsia="zh-CN"/>
        </w:rPr>
        <w:t>河南永昶环保科技有限公司</w:t>
      </w:r>
      <w:r>
        <w:rPr>
          <w:rFonts w:hint="eastAsia" w:ascii="宋体" w:hAnsi="宋体" w:eastAsia="宋体" w:cs="宋体"/>
          <w:sz w:val="32"/>
          <w:szCs w:val="32"/>
          <w:lang w:val="en-US" w:eastAsia="zh-CN"/>
        </w:rPr>
        <w:t>编制的《河南益恒源生物科技有限公司年产1万吨塔格糖建设项目</w:t>
      </w:r>
      <w:r>
        <w:rPr>
          <w:rFonts w:hint="eastAsia" w:ascii="宋体" w:hAnsi="宋体" w:eastAsia="宋体" w:cs="宋体"/>
          <w:sz w:val="32"/>
          <w:szCs w:val="32"/>
          <w:lang w:eastAsia="zh-CN"/>
        </w:rPr>
        <w:t>环境影响报告表</w:t>
      </w:r>
      <w:r>
        <w:rPr>
          <w:rFonts w:hint="eastAsia" w:ascii="宋体" w:hAnsi="宋体" w:eastAsia="宋体" w:cs="宋体"/>
          <w:sz w:val="32"/>
          <w:szCs w:val="32"/>
          <w:lang w:val="en-US" w:eastAsia="zh-CN"/>
        </w:rPr>
        <w:t>(以下简称《报告表》）收悉，该项目已在郾城区政府网站公示期满。经研究，批复如下：</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一、项目位于河南省漯河市郾城区龙江西路与兴隆山路交叉口向东50米路北001号。《报告表》内容符合国家相关法律法规要求和建设项目环境管理规定，评价结论可信。我局批准该《报告表》，原则同意你单位按照《报告表》中所列项目的性质、地点、规模、工艺和环境保护对策措施建设。</w:t>
      </w:r>
    </w:p>
    <w:p>
      <w:pPr>
        <w:keepNext w:val="0"/>
        <w:keepLines w:val="0"/>
        <w:pageBreakBefore w:val="0"/>
        <w:widowControl w:val="0"/>
        <w:kinsoku/>
        <w:wordWrap/>
        <w:overflowPunct/>
        <w:topLinePunct w:val="0"/>
        <w:autoSpaceDE/>
        <w:autoSpaceDN/>
        <w:bidi w:val="0"/>
        <w:adjustRightInd/>
        <w:snapToGrid/>
        <w:spacing w:line="360" w:lineRule="auto"/>
        <w:ind w:firstLine="640" w:firstLineChars="200"/>
        <w:jc w:val="left"/>
        <w:textAlignment w:val="auto"/>
        <w:rPr>
          <w:rFonts w:hint="eastAsia" w:ascii="宋体" w:hAnsi="宋体" w:eastAsia="宋体" w:cs="宋体"/>
          <w:sz w:val="32"/>
          <w:szCs w:val="32"/>
          <w:lang w:val="en-US" w:eastAsia="zh-CN"/>
        </w:rPr>
      </w:pPr>
      <w:r>
        <w:rPr>
          <w:rFonts w:hint="eastAsia" w:ascii="宋体" w:hAnsi="宋体" w:eastAsia="宋体" w:cs="宋体"/>
          <w:sz w:val="32"/>
          <w:szCs w:val="32"/>
          <w:lang w:val="en-US" w:eastAsia="zh-CN"/>
        </w:rPr>
        <w:t>二、你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应主动向社会公众公开经批准的《报告表》，并接受相关方的咨询。</w:t>
      </w:r>
    </w:p>
    <w:p>
      <w:pPr>
        <w:spacing w:line="360" w:lineRule="auto"/>
        <w:ind w:firstLine="640" w:firstLineChars="200"/>
        <w:rPr>
          <w:rFonts w:hint="eastAsia" w:ascii="宋体" w:hAnsi="宋体" w:eastAsia="宋体" w:cs="宋体"/>
          <w:sz w:val="32"/>
          <w:szCs w:val="32"/>
        </w:rPr>
      </w:pPr>
      <w:r>
        <w:rPr>
          <w:rFonts w:hint="eastAsia" w:ascii="宋体" w:hAnsi="宋体" w:eastAsia="宋体" w:cs="宋体"/>
          <w:sz w:val="32"/>
          <w:szCs w:val="32"/>
          <w:lang w:val="en-US" w:eastAsia="zh-CN"/>
        </w:rPr>
        <w:t>三、你</w:t>
      </w:r>
      <w:r>
        <w:rPr>
          <w:rFonts w:hint="eastAsia" w:ascii="宋体" w:hAnsi="宋体" w:eastAsia="宋体" w:cs="宋体"/>
          <w:color w:val="000000"/>
          <w:kern w:val="0"/>
          <w:sz w:val="32"/>
          <w:szCs w:val="32"/>
        </w:rPr>
        <w:t>公司</w:t>
      </w:r>
      <w:r>
        <w:rPr>
          <w:rFonts w:hint="eastAsia" w:ascii="宋体" w:hAnsi="宋体" w:eastAsia="宋体" w:cs="宋体"/>
          <w:sz w:val="32"/>
          <w:szCs w:val="32"/>
          <w:lang w:val="en-US" w:eastAsia="zh-CN"/>
        </w:rPr>
        <w:t>应全面落实《报告表》提出的各项环保对策措施，确保各项环境保护设施达到环评各项要求，并与主体工程同时设计、同时施工、同时投入使用，确保各项污染物达标排放。项目</w:t>
      </w:r>
      <w:r>
        <w:rPr>
          <w:rFonts w:hint="eastAsia" w:ascii="宋体" w:hAnsi="宋体" w:eastAsia="宋体" w:cs="宋体"/>
          <w:sz w:val="32"/>
          <w:szCs w:val="32"/>
        </w:rPr>
        <w:t>竣工后，应及时组织开展环保验收。</w:t>
      </w:r>
    </w:p>
    <w:p>
      <w:pPr>
        <w:keepNext w:val="0"/>
        <w:keepLines w:val="0"/>
        <w:pageBreakBefore w:val="0"/>
        <w:widowControl/>
        <w:numPr>
          <w:numId w:val="0"/>
        </w:numPr>
        <w:kinsoku/>
        <w:wordWrap/>
        <w:overflowPunct/>
        <w:topLinePunct w:val="0"/>
        <w:autoSpaceDE/>
        <w:autoSpaceDN/>
        <w:bidi w:val="0"/>
        <w:adjustRightInd w:val="0"/>
        <w:snapToGrid w:val="0"/>
        <w:spacing w:before="0" w:beforeLines="0" w:after="0" w:afterLines="0" w:line="360" w:lineRule="auto"/>
        <w:ind w:right="0" w:rightChars="0" w:firstLine="643"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1.</w:t>
      </w:r>
      <w:r>
        <w:rPr>
          <w:rFonts w:hint="eastAsia" w:ascii="宋体" w:hAnsi="宋体" w:eastAsia="宋体" w:cs="宋体"/>
          <w:b w:val="0"/>
          <w:bCs w:val="0"/>
          <w:color w:val="auto"/>
          <w:sz w:val="32"/>
          <w:szCs w:val="32"/>
          <w:lang w:val="en-US" w:eastAsia="zh-CN"/>
        </w:rPr>
        <w:t>废气：</w:t>
      </w:r>
      <w:r>
        <w:rPr>
          <w:rFonts w:hint="eastAsia" w:ascii="宋体" w:hAnsi="宋体" w:eastAsia="宋体" w:cs="宋体"/>
          <w:b w:val="0"/>
          <w:bCs/>
          <w:color w:val="auto"/>
          <w:sz w:val="32"/>
          <w:szCs w:val="32"/>
          <w:u w:val="none" w:color="auto"/>
          <w:lang w:val="en-US" w:eastAsia="zh-CN"/>
        </w:rPr>
        <w:t>1#生产车间拆包废气、真空上料废气、干燥废气、粉碎废气和包装废气经袋式除尘器处理后通过1根15m高排气筒（DA001）排放；2#生产车间投料废气、干燥废气、粉碎废气和包装废气经袋式除尘器处理后通过1根15m高排气筒（DA002）排放；3#生产车间投料废气、干燥废气、粉碎废气和包装废气经袋式除尘器处理后通过1根15m高排气筒（DA003）排放；污水处理单元加盖密闭，污水处理废气经</w:t>
      </w:r>
      <w:r>
        <w:rPr>
          <w:rFonts w:hint="eastAsia" w:ascii="宋体" w:hAnsi="宋体" w:eastAsia="宋体" w:cs="宋体"/>
          <w:b w:val="0"/>
          <w:bCs w:val="0"/>
          <w:sz w:val="32"/>
          <w:szCs w:val="32"/>
          <w:u w:val="none" w:color="auto"/>
          <w:lang w:val="en-US" w:eastAsia="zh-CN"/>
        </w:rPr>
        <w:t>活性炭吸附装置</w:t>
      </w:r>
      <w:r>
        <w:rPr>
          <w:rFonts w:hint="eastAsia" w:ascii="宋体" w:hAnsi="宋体" w:eastAsia="宋体" w:cs="宋体"/>
          <w:b w:val="0"/>
          <w:bCs/>
          <w:color w:val="auto"/>
          <w:sz w:val="32"/>
          <w:szCs w:val="32"/>
          <w:u w:val="none" w:color="auto"/>
          <w:lang w:val="en-US" w:eastAsia="zh-CN"/>
        </w:rPr>
        <w:t>处理后通过1根15m高排气筒排放（DA004）；沼气经燃烧器燃烧后通过1根15m高排气筒排放（DA005）</w:t>
      </w:r>
      <w:r>
        <w:rPr>
          <w:rFonts w:hint="eastAsia" w:ascii="宋体" w:hAnsi="宋体" w:eastAsia="宋体" w:cs="宋体"/>
          <w:b w:val="0"/>
          <w:bCs w:val="0"/>
          <w:color w:val="auto"/>
          <w:sz w:val="32"/>
          <w:szCs w:val="32"/>
          <w:lang w:val="en-US" w:eastAsia="zh-CN"/>
        </w:rPr>
        <w:t>。</w:t>
      </w:r>
    </w:p>
    <w:p>
      <w:pPr>
        <w:keepNext w:val="0"/>
        <w:keepLines w:val="0"/>
        <w:pageBreakBefore w:val="0"/>
        <w:widowControl/>
        <w:numPr>
          <w:numId w:val="0"/>
        </w:numPr>
        <w:kinsoku/>
        <w:wordWrap/>
        <w:overflowPunct/>
        <w:topLinePunct w:val="0"/>
        <w:autoSpaceDE/>
        <w:autoSpaceDN/>
        <w:bidi w:val="0"/>
        <w:adjustRightInd w:val="0"/>
        <w:snapToGrid w:val="0"/>
        <w:spacing w:before="0" w:beforeLines="0" w:after="0" w:afterLines="0" w:line="360" w:lineRule="auto"/>
        <w:ind w:right="0" w:rightChars="0" w:firstLine="643"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2.</w:t>
      </w:r>
      <w:r>
        <w:rPr>
          <w:rFonts w:hint="eastAsia" w:ascii="宋体" w:hAnsi="宋体" w:eastAsia="宋体" w:cs="宋体"/>
          <w:b w:val="0"/>
          <w:bCs w:val="0"/>
          <w:color w:val="auto"/>
          <w:sz w:val="32"/>
          <w:szCs w:val="32"/>
          <w:lang w:val="en-US" w:eastAsia="zh-CN"/>
        </w:rPr>
        <w:t>污水：</w:t>
      </w:r>
      <w:r>
        <w:rPr>
          <w:rFonts w:hint="eastAsia" w:ascii="宋体" w:hAnsi="宋体" w:eastAsia="宋体" w:cs="宋体"/>
          <w:b w:val="0"/>
          <w:bCs/>
          <w:color w:val="auto"/>
          <w:sz w:val="32"/>
          <w:szCs w:val="32"/>
          <w:u w:val="none" w:color="auto"/>
          <w:lang w:val="en-US" w:eastAsia="zh-CN"/>
        </w:rPr>
        <w:t>经隔油池、化粪池处理后的职工生活污水、树脂再生废水、双效蒸发冷凝水、结晶冷凝水和清洗提纯废水进入厂内污水处理站处理后通过市政污水管网进入淞江产业集聚区污水处理厂（二期）处理后排放；循环冷却水定期排水、制水设施废水通过市政污水管网进入淞江产业集聚区污水处理厂（二期）处理后排放</w:t>
      </w:r>
      <w:r>
        <w:rPr>
          <w:rFonts w:hint="eastAsia" w:ascii="宋体" w:hAnsi="宋体" w:eastAsia="宋体" w:cs="宋体"/>
          <w:color w:val="000000"/>
          <w:sz w:val="32"/>
          <w:szCs w:val="32"/>
        </w:rPr>
        <w:t>。</w:t>
      </w:r>
    </w:p>
    <w:p>
      <w:pPr>
        <w:keepNext w:val="0"/>
        <w:keepLines w:val="0"/>
        <w:pageBreakBefore w:val="0"/>
        <w:widowControl/>
        <w:numPr>
          <w:ilvl w:val="0"/>
          <w:numId w:val="0"/>
        </w:numPr>
        <w:kinsoku/>
        <w:wordWrap/>
        <w:overflowPunct/>
        <w:topLinePunct w:val="0"/>
        <w:autoSpaceDE/>
        <w:autoSpaceDN/>
        <w:bidi w:val="0"/>
        <w:adjustRightInd w:val="0"/>
        <w:snapToGrid w:val="0"/>
        <w:spacing w:before="0" w:beforeLines="0" w:after="0" w:afterLines="0" w:line="360" w:lineRule="auto"/>
        <w:ind w:right="0" w:rightChars="0" w:firstLine="643" w:firstLineChars="200"/>
        <w:jc w:val="both"/>
        <w:textAlignment w:val="auto"/>
        <w:outlineLvl w:val="9"/>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3.</w:t>
      </w:r>
      <w:r>
        <w:rPr>
          <w:rFonts w:hint="eastAsia" w:ascii="宋体" w:hAnsi="宋体" w:eastAsia="宋体" w:cs="宋体"/>
          <w:b w:val="0"/>
          <w:bCs w:val="0"/>
          <w:color w:val="auto"/>
          <w:sz w:val="32"/>
          <w:szCs w:val="32"/>
          <w:lang w:val="en-US" w:eastAsia="zh-CN"/>
        </w:rPr>
        <w:t>噪声：</w:t>
      </w:r>
      <w:r>
        <w:rPr>
          <w:rFonts w:hint="eastAsia" w:ascii="宋体" w:hAnsi="宋体" w:eastAsia="宋体" w:cs="宋体"/>
          <w:b w:val="0"/>
          <w:bCs/>
          <w:color w:val="auto"/>
          <w:sz w:val="32"/>
          <w:szCs w:val="32"/>
          <w:u w:val="none" w:color="auto"/>
        </w:rPr>
        <w:t>选用低噪声设备、设置减振基础</w:t>
      </w:r>
      <w:r>
        <w:rPr>
          <w:rFonts w:hint="eastAsia" w:ascii="宋体" w:hAnsi="宋体" w:eastAsia="宋体" w:cs="宋体"/>
          <w:b w:val="0"/>
          <w:bCs w:val="0"/>
          <w:color w:val="auto"/>
          <w:sz w:val="32"/>
          <w:szCs w:val="32"/>
          <w:lang w:val="en-US"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3" w:firstLineChars="200"/>
        <w:textAlignment w:val="auto"/>
        <w:rPr>
          <w:rFonts w:hint="eastAsia" w:ascii="宋体" w:hAnsi="宋体" w:eastAsia="宋体" w:cs="宋体"/>
          <w:b w:val="0"/>
          <w:bCs w:val="0"/>
          <w:color w:val="auto"/>
          <w:sz w:val="32"/>
          <w:szCs w:val="32"/>
          <w:lang w:val="en-US" w:eastAsia="zh-CN"/>
        </w:rPr>
      </w:pPr>
      <w:r>
        <w:rPr>
          <w:rFonts w:hint="eastAsia" w:ascii="宋体" w:hAnsi="宋体" w:eastAsia="宋体" w:cs="宋体"/>
          <w:b/>
          <w:bCs/>
          <w:color w:val="auto"/>
          <w:sz w:val="32"/>
          <w:szCs w:val="32"/>
          <w:lang w:val="en-US" w:eastAsia="zh-CN"/>
        </w:rPr>
        <w:t>4.</w:t>
      </w:r>
      <w:r>
        <w:rPr>
          <w:rFonts w:hint="eastAsia" w:ascii="宋体" w:hAnsi="宋体" w:eastAsia="宋体" w:cs="宋体"/>
          <w:b w:val="0"/>
          <w:bCs w:val="0"/>
          <w:color w:val="auto"/>
          <w:sz w:val="32"/>
          <w:szCs w:val="32"/>
          <w:lang w:val="en-US" w:eastAsia="zh-CN"/>
        </w:rPr>
        <w:t>固体废物：</w:t>
      </w:r>
      <w:r>
        <w:rPr>
          <w:rFonts w:hint="eastAsia" w:ascii="宋体" w:hAnsi="宋体" w:eastAsia="宋体" w:cs="宋体"/>
          <w:b w:val="0"/>
          <w:bCs/>
          <w:sz w:val="32"/>
          <w:szCs w:val="32"/>
          <w:u w:val="none" w:color="auto"/>
          <w:lang w:eastAsia="zh-CN"/>
        </w:rPr>
        <w:t>除尘器收集的粉尘收集后外售。离心固体收集后外售。废脱色活性炭收集后交厂家回收。制水设施废活性炭收集后交原厂家回收。脱水后的污泥采用密闭容器收集后送建筑垃圾填埋场处理。废包装材料收集后外售。废RO膜采用塑料桶密闭收集后交原厂家回收。废离子交换树脂采用塑料桶密闭收集后交原厂家回收。废色谱柱采用塑料桶密闭收集后交原厂家回收。废脱硫剂采用塑料桶密闭收集后交原厂家回收。废滤布收集后交厂家回收。污水处理站废气处理设施废活性炭采用塑料桶密闭收集后在危险废物暂存间暂存，最后委托有资质单位处置</w:t>
      </w:r>
      <w:r>
        <w:rPr>
          <w:rFonts w:hint="eastAsia" w:ascii="宋体" w:hAnsi="宋体" w:eastAsia="宋体" w:cs="宋体"/>
          <w:b w:val="0"/>
          <w:bCs w:val="0"/>
          <w:color w:val="auto"/>
          <w:sz w:val="32"/>
          <w:szCs w:val="32"/>
          <w:lang w:val="en-US" w:eastAsia="zh-CN"/>
        </w:rPr>
        <w:t>。</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640" w:firstLineChars="20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四、本批复有效期为5年。如该项目逾期方开工建设，其环境影响报告表应报我局重新审核。建设项目的性质、规模、地点、或者防治污染、防止生态破坏的措施发生重大变动的，建设单位应当重新报批建设项目的环境影响评价文件。</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r>
        <w:rPr>
          <w:rFonts w:hint="eastAsia" w:ascii="宋体" w:hAnsi="宋体" w:eastAsia="宋体" w:cs="宋体"/>
          <w:kern w:val="2"/>
          <w:sz w:val="32"/>
          <w:szCs w:val="32"/>
          <w:lang w:val="en-US" w:eastAsia="zh-CN" w:bidi="ar-SA"/>
        </w:rPr>
        <w:t>五、本项目日常环境监督管理工作由漯河市生态环境局行政执法支队郾城区大队负责，并对项目环境保护执行情况进行现场监察。</w:t>
      </w: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60"/>
        <w:textAlignment w:val="auto"/>
        <w:rPr>
          <w:rFonts w:hint="eastAsia" w:ascii="宋体" w:hAnsi="宋体" w:eastAsia="宋体" w:cs="宋体"/>
          <w:kern w:val="2"/>
          <w:sz w:val="32"/>
          <w:szCs w:val="32"/>
          <w:lang w:val="en-US" w:eastAsia="zh-CN" w:bidi="ar-SA"/>
        </w:rPr>
      </w:pPr>
    </w:p>
    <w:p>
      <w:pPr>
        <w:pStyle w:val="3"/>
        <w:keepNext w:val="0"/>
        <w:keepLines w:val="0"/>
        <w:pageBreakBefore w:val="0"/>
        <w:widowControl w:val="0"/>
        <w:shd w:val="clear" w:color="auto" w:fill="FFFFFF"/>
        <w:kinsoku/>
        <w:wordWrap/>
        <w:overflowPunct/>
        <w:topLinePunct w:val="0"/>
        <w:autoSpaceDE/>
        <w:autoSpaceDN/>
        <w:bidi w:val="0"/>
        <w:adjustRightInd/>
        <w:snapToGrid/>
        <w:spacing w:before="0" w:beforeAutospacing="0" w:after="0" w:afterAutospacing="0" w:line="360" w:lineRule="auto"/>
        <w:ind w:firstLine="5388" w:firstLineChars="1684"/>
        <w:textAlignment w:val="auto"/>
        <w:rPr>
          <w:rFonts w:hint="default" w:ascii="宋体" w:hAnsi="宋体" w:eastAsia="宋体" w:cs="宋体"/>
          <w:kern w:val="2"/>
          <w:sz w:val="32"/>
          <w:szCs w:val="32"/>
          <w:lang w:val="en-US" w:eastAsia="zh-CN" w:bidi="ar-SA"/>
        </w:rPr>
      </w:pPr>
      <w:r>
        <w:rPr>
          <w:rFonts w:hint="eastAsia" w:eastAsia="宋体" w:cs="宋体"/>
          <w:kern w:val="2"/>
          <w:sz w:val="32"/>
          <w:szCs w:val="32"/>
          <w:lang w:val="en-US" w:eastAsia="zh-CN" w:bidi="ar-SA"/>
        </w:rPr>
        <w:t>2024年4月9</w:t>
      </w:r>
      <w:bookmarkStart w:id="0" w:name="_GoBack"/>
      <w:bookmarkEnd w:id="0"/>
      <w:r>
        <w:rPr>
          <w:rFonts w:hint="eastAsia" w:eastAsia="宋体" w:cs="宋体"/>
          <w:kern w:val="2"/>
          <w:sz w:val="32"/>
          <w:szCs w:val="32"/>
          <w:lang w:val="en-US" w:eastAsia="zh-CN" w:bidi="ar-SA"/>
        </w:rPr>
        <w:t>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QyOGFlNDBjNWZlZGJkYjNmYTQ3OWNlMzgyOWM1ZDMifQ=="/>
  </w:docVars>
  <w:rsids>
    <w:rsidRoot w:val="1256638D"/>
    <w:rsid w:val="12566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仿宋_GB2312" w:hAnsi="Calibri" w:eastAsia="仿宋_GB2312" w:cs="Times New Roman"/>
      <w:kern w:val="2"/>
      <w:sz w:val="30"/>
      <w:szCs w:val="28"/>
      <w:lang w:val="en-US" w:eastAsia="zh-CN" w:bidi="ar-SA"/>
    </w:rPr>
  </w:style>
  <w:style w:type="paragraph" w:styleId="2">
    <w:name w:val="heading 1"/>
    <w:basedOn w:val="1"/>
    <w:next w:val="1"/>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iPriority w:val="0"/>
  </w:style>
  <w:style w:type="table" w:default="1" w:styleId="4">
    <w:name w:val="Normal Table"/>
    <w:autoRedefine/>
    <w:semiHidden/>
    <w:qFormat/>
    <w:uiPriority w:val="0"/>
    <w:tblPr>
      <w:tblCellMar>
        <w:top w:w="0" w:type="dxa"/>
        <w:left w:w="108" w:type="dxa"/>
        <w:bottom w:w="0" w:type="dxa"/>
        <w:right w:w="108" w:type="dxa"/>
      </w:tblCellMar>
    </w:tblPr>
  </w:style>
  <w:style w:type="paragraph" w:styleId="3">
    <w:name w:val="Normal (Web)"/>
    <w:basedOn w:val="1"/>
    <w:qFormat/>
    <w:uiPriority w:val="0"/>
    <w:pPr>
      <w:widowControl/>
      <w:spacing w:before="100" w:beforeLines="0" w:beforeAutospacing="1" w:after="100" w:afterLines="0" w:afterAutospacing="1"/>
      <w:jc w:val="left"/>
    </w:pPr>
    <w:rPr>
      <w:rFonts w:ascii="宋体" w:hAnsi="宋体"/>
      <w:kern w:val="0"/>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2024-04-09T00:20:00Z</dcterms:created>
  <dc:creator>兵华</dc:creator>
  <cp:lastModifiedBy>兵华</cp:lastModifiedBy>
  <dcterms:modified xsi:type="dcterms:W3CDTF">2024-04-09T00:28:37Z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7433556AC1CD4A2E86C6DA9D73CC4E41_11</vt:lpwstr>
  </property>
</Properties>
</file>